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40"/>
          <w:lang w:val="en-US"/>
        </w:rPr>
      </w:pPr>
      <w:r>
        <w:rPr>
          <w:b/>
          <w:noProof/>
          <w:sz w:val="40"/>
          <w:lang w:eastAsia="en-GB"/>
        </w:rPr>
        <w:drawing>
          <wp:anchor distT="0" distB="0" distL="114300" distR="114300" simplePos="0" relativeHeight="251658240" behindDoc="0" locked="0" layoutInCell="1" allowOverlap="1">
            <wp:simplePos x="0" y="0"/>
            <wp:positionH relativeFrom="column">
              <wp:posOffset>8138898</wp:posOffset>
            </wp:positionH>
            <wp:positionV relativeFrom="paragraph">
              <wp:posOffset>-160981</wp:posOffset>
            </wp:positionV>
            <wp:extent cx="894578" cy="1131745"/>
            <wp:effectExtent l="19050" t="19050" r="2032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7">
                      <a:extLst>
                        <a:ext uri="{28A0092B-C50C-407E-A947-70E740481C1C}">
                          <a14:useLocalDpi xmlns:a14="http://schemas.microsoft.com/office/drawing/2010/main" val="0"/>
                        </a:ext>
                      </a:extLst>
                    </a:blip>
                    <a:stretch>
                      <a:fillRect/>
                    </a:stretch>
                  </pic:blipFill>
                  <pic:spPr>
                    <a:xfrm>
                      <a:off x="0" y="0"/>
                      <a:ext cx="894578" cy="1131745"/>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Pr>
          <w:b/>
          <w:sz w:val="40"/>
          <w:lang w:val="en-US"/>
        </w:rPr>
        <w:t>Jotmans Hall Primary School</w:t>
      </w:r>
    </w:p>
    <w:p>
      <w:pPr>
        <w:rPr>
          <w:b/>
          <w:sz w:val="40"/>
          <w:lang w:val="en-US"/>
        </w:rPr>
      </w:pPr>
      <w:r>
        <w:rPr>
          <w:b/>
          <w:sz w:val="40"/>
          <w:lang w:val="en-US"/>
        </w:rPr>
        <w:t>Additional Funding Strategy Document</w:t>
      </w:r>
    </w:p>
    <w:p>
      <w:pPr>
        <w:rPr>
          <w:b/>
          <w:sz w:val="40"/>
          <w:lang w:val="en-US"/>
        </w:rPr>
      </w:pPr>
      <w:r>
        <w:rPr>
          <w:b/>
          <w:sz w:val="40"/>
          <w:lang w:val="en-US"/>
        </w:rPr>
        <w:t>2021-22</w:t>
      </w:r>
    </w:p>
    <w:p>
      <w:pPr>
        <w:rPr>
          <w:b/>
          <w:sz w:val="40"/>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sz w:val="28"/>
          <w:lang w:val="en-US"/>
        </w:rPr>
      </w:pPr>
    </w:p>
    <w:p>
      <w:pPr>
        <w:rPr>
          <w:sz w:val="28"/>
          <w:lang w:val="en-US"/>
        </w:rPr>
      </w:pPr>
      <w:r>
        <w:rPr>
          <w:sz w:val="28"/>
          <w:lang w:val="en-US"/>
        </w:rPr>
        <w:t xml:space="preserve">Incorporating Pupil Premium, Recovery Premium, National Tuition Funding, Sports Premium, School Mentor </w:t>
      </w:r>
    </w:p>
    <w:p>
      <w:pPr>
        <w:rPr>
          <w:lang w:val="en-US"/>
        </w:rPr>
      </w:pPr>
      <w:r>
        <w:rPr>
          <w:lang w:val="en-US"/>
        </w:rPr>
        <w:br w:type="page"/>
      </w:r>
    </w:p>
    <w:p>
      <w:pPr>
        <w:rPr>
          <w:sz w:val="32"/>
          <w:lang w:val="en-US"/>
        </w:rPr>
      </w:pPr>
      <w:r>
        <w:rPr>
          <w:sz w:val="32"/>
          <w:lang w:val="en-US"/>
        </w:rPr>
        <w:lastRenderedPageBreak/>
        <w:t xml:space="preserve">The purpose of this document is to outline the additional funding streams available to the school. It endeavours to outline the long term and short strategies for Jotmans Hall School, applicable to each funding stream. The aim is to give an overview of the work linked to each strategy that is being carried out within Jotmans Hall Primary School </w:t>
      </w:r>
    </w:p>
    <w:p>
      <w:pPr>
        <w:rPr>
          <w:sz w:val="32"/>
          <w:lang w:val="en-US"/>
        </w:rPr>
      </w:pPr>
      <w:r>
        <w:rPr>
          <w:sz w:val="32"/>
          <w:lang w:val="en-US"/>
        </w:rPr>
        <w:t>The specific costings and impact of each strategy is broken down further in the following documents:</w:t>
      </w:r>
    </w:p>
    <w:p>
      <w:pPr>
        <w:pStyle w:val="ListParagraph"/>
        <w:numPr>
          <w:ilvl w:val="0"/>
          <w:numId w:val="3"/>
        </w:numPr>
        <w:rPr>
          <w:sz w:val="32"/>
          <w:lang w:val="en-US"/>
        </w:rPr>
      </w:pPr>
      <w:r>
        <w:rPr>
          <w:sz w:val="32"/>
          <w:lang w:val="en-US"/>
        </w:rPr>
        <w:t>JHS 3-year pupil premium strategy</w:t>
      </w:r>
    </w:p>
    <w:p>
      <w:pPr>
        <w:pStyle w:val="ListParagraph"/>
        <w:numPr>
          <w:ilvl w:val="0"/>
          <w:numId w:val="3"/>
        </w:numPr>
        <w:rPr>
          <w:sz w:val="32"/>
          <w:lang w:val="en-US"/>
        </w:rPr>
      </w:pPr>
      <w:r>
        <w:rPr>
          <w:sz w:val="32"/>
          <w:lang w:val="en-US"/>
        </w:rPr>
        <w:t>Pupil Premium Strategy</w:t>
      </w:r>
    </w:p>
    <w:p>
      <w:pPr>
        <w:pStyle w:val="ListParagraph"/>
        <w:numPr>
          <w:ilvl w:val="0"/>
          <w:numId w:val="3"/>
        </w:numPr>
        <w:rPr>
          <w:sz w:val="32"/>
          <w:lang w:val="en-US"/>
        </w:rPr>
      </w:pPr>
      <w:r>
        <w:rPr>
          <w:sz w:val="32"/>
          <w:lang w:val="en-US"/>
        </w:rPr>
        <w:t xml:space="preserve">Sports Premium Strategy </w:t>
      </w:r>
    </w:p>
    <w:p>
      <w:pPr>
        <w:rPr>
          <w:lang w:val="en-US"/>
        </w:rPr>
      </w:pPr>
    </w:p>
    <w:p>
      <w:pPr>
        <w:rPr>
          <w:lang w:val="en-US"/>
        </w:rPr>
      </w:pPr>
    </w:p>
    <w:p>
      <w:pPr>
        <w:rPr>
          <w:lang w:val="en-US"/>
        </w:rPr>
      </w:pPr>
    </w:p>
    <w:p>
      <w:pPr>
        <w:rPr>
          <w:lang w:val="en-US"/>
        </w:rPr>
      </w:pPr>
    </w:p>
    <w:p>
      <w:pPr>
        <w:rPr>
          <w:lang w:val="en-US"/>
        </w:rPr>
      </w:pPr>
    </w:p>
    <w:p>
      <w:pPr>
        <w:ind w:left="360"/>
        <w:rPr>
          <w:rFonts w:ascii="Times New Roman" w:hAnsi="Times New Roman" w:cs="Times New Roman"/>
          <w:i/>
          <w:sz w:val="36"/>
          <w:szCs w:val="30"/>
          <w:shd w:val="clear" w:color="auto" w:fill="FFFFFF"/>
        </w:rPr>
      </w:pPr>
      <w:r>
        <w:rPr>
          <w:rFonts w:ascii="Times New Roman" w:hAnsi="Times New Roman" w:cs="Times New Roman"/>
          <w:i/>
          <w:sz w:val="36"/>
          <w:szCs w:val="30"/>
          <w:shd w:val="clear" w:color="auto" w:fill="FFFFFF"/>
        </w:rPr>
        <w:t>Schools are learning organisations. They continuously strive to do better for the children and young people in their charge. In doing so, they try new things, seek to learn from those experiences, and work to adopt and embed the practices that work best.</w:t>
      </w:r>
    </w:p>
    <w:p>
      <w:pPr>
        <w:ind w:left="360"/>
        <w:jc w:val="right"/>
        <w:rPr>
          <w:rFonts w:ascii="Times New Roman" w:hAnsi="Times New Roman" w:cs="Times New Roman"/>
          <w:i/>
          <w:sz w:val="28"/>
          <w:lang w:val="en-US"/>
        </w:rPr>
      </w:pPr>
      <w:r>
        <w:rPr>
          <w:rFonts w:ascii="Times New Roman" w:hAnsi="Times New Roman" w:cs="Times New Roman"/>
          <w:i/>
          <w:sz w:val="28"/>
        </w:rPr>
        <w:t>PUTTING EVIDENCE TO WORK: A SCHOOL’S GUIDE TO IMPLEMENTATION from the Education Endowment Foundation</w:t>
      </w:r>
    </w:p>
    <w:p>
      <w:pPr>
        <w:rPr>
          <w:lang w:val="en-US"/>
        </w:rPr>
      </w:pPr>
      <w:r>
        <w:rPr>
          <w:lang w:val="en-US"/>
        </w:rPr>
        <w:br w:type="page"/>
      </w:r>
    </w:p>
    <w:tbl>
      <w:tblPr>
        <w:tblStyle w:val="TableGrid"/>
        <w:tblW w:w="0" w:type="auto"/>
        <w:tblLook w:val="04A0" w:firstRow="1" w:lastRow="0" w:firstColumn="1" w:lastColumn="0" w:noHBand="0" w:noVBand="1"/>
      </w:tblPr>
      <w:tblGrid>
        <w:gridCol w:w="13948"/>
      </w:tblGrid>
      <w:tr>
        <w:tc>
          <w:tcPr>
            <w:tcW w:w="13948" w:type="dxa"/>
          </w:tcPr>
          <w:p>
            <w:pPr>
              <w:rPr>
                <w:rFonts w:cstheme="minorHAnsi"/>
                <w:lang w:val="en-US"/>
              </w:rPr>
            </w:pPr>
            <w:r>
              <w:rPr>
                <w:rFonts w:cstheme="minorHAnsi"/>
                <w:b/>
                <w:sz w:val="28"/>
                <w:lang w:val="en-US"/>
              </w:rPr>
              <w:lastRenderedPageBreak/>
              <w:t>Purpose of Funding Strategies (from gov.uk):</w:t>
            </w:r>
          </w:p>
        </w:tc>
      </w:tr>
      <w:tr>
        <w:tc>
          <w:tcPr>
            <w:tcW w:w="13948" w:type="dxa"/>
          </w:tcPr>
          <w:p>
            <w:pPr>
              <w:rPr>
                <w:rFonts w:cstheme="minorHAnsi"/>
                <w:lang w:val="en-US"/>
              </w:rPr>
            </w:pPr>
          </w:p>
        </w:tc>
      </w:tr>
      <w:tr>
        <w:tc>
          <w:tcPr>
            <w:tcW w:w="13948" w:type="dxa"/>
          </w:tcPr>
          <w:p>
            <w:pPr>
              <w:rPr>
                <w:rFonts w:cstheme="minorHAnsi"/>
                <w:b/>
                <w:lang w:val="en-US"/>
              </w:rPr>
            </w:pPr>
            <w:r>
              <w:rPr>
                <w:rFonts w:cstheme="minorHAnsi"/>
                <w:b/>
                <w:lang w:val="en-US"/>
              </w:rPr>
              <w:t>Pupil Premium</w:t>
            </w:r>
          </w:p>
        </w:tc>
      </w:tr>
      <w:tr>
        <w:tc>
          <w:tcPr>
            <w:tcW w:w="13948" w:type="dxa"/>
          </w:tcPr>
          <w:p>
            <w:pPr>
              <w:rPr>
                <w:rFonts w:cstheme="minorHAnsi"/>
                <w:lang w:val="en-US"/>
              </w:rPr>
            </w:pPr>
            <w:r>
              <w:rPr>
                <w:rFonts w:eastAsia="Times New Roman" w:cstheme="minorHAnsi"/>
                <w:color w:val="0B0C0C"/>
                <w:lang w:eastAsia="en-GB"/>
              </w:rPr>
              <w:t>Pupil premium is funding to improve education outcomes for disadvantaged pupils in schools in England. Evidence shows that disadvantaged children generally face additional challenges in reaching their potential at school and often do not perform as well as other pupils.</w:t>
            </w:r>
          </w:p>
        </w:tc>
      </w:tr>
      <w:tr>
        <w:tc>
          <w:tcPr>
            <w:tcW w:w="13948" w:type="dxa"/>
            <w:vAlign w:val="bottom"/>
          </w:tcPr>
          <w:p>
            <w:pPr>
              <w:jc w:val="right"/>
              <w:rPr>
                <w:rFonts w:eastAsia="Times New Roman" w:cstheme="minorHAnsi"/>
                <w:color w:val="0B0C0C"/>
                <w:lang w:eastAsia="en-GB"/>
              </w:rPr>
            </w:pPr>
            <w:r>
              <w:rPr>
                <w:rFonts w:eastAsia="Times New Roman" w:cstheme="minorHAnsi"/>
                <w:color w:val="0B0C0C"/>
                <w:lang w:eastAsia="en-GB"/>
              </w:rPr>
              <w:t>Budget Allocation:</w:t>
            </w:r>
          </w:p>
        </w:tc>
      </w:tr>
      <w:tr>
        <w:tc>
          <w:tcPr>
            <w:tcW w:w="13948" w:type="dxa"/>
          </w:tcPr>
          <w:p>
            <w:pPr>
              <w:jc w:val="right"/>
              <w:rPr>
                <w:rFonts w:cstheme="minorHAnsi"/>
                <w:b/>
                <w:lang w:val="en-US"/>
              </w:rPr>
            </w:pPr>
            <w:r>
              <w:rPr>
                <w:rFonts w:cstheme="minorHAnsi"/>
                <w:b/>
                <w:lang w:val="en-US"/>
              </w:rPr>
              <w:t>£62,447 plus £2,795 brought forward from 2020-21 = £65,242</w:t>
            </w:r>
          </w:p>
        </w:tc>
      </w:tr>
      <w:tr>
        <w:tc>
          <w:tcPr>
            <w:tcW w:w="13948" w:type="dxa"/>
          </w:tcPr>
          <w:p>
            <w:pPr>
              <w:rPr>
                <w:rFonts w:cstheme="minorHAnsi"/>
                <w:b/>
                <w:lang w:val="en-US"/>
              </w:rPr>
            </w:pPr>
            <w:r>
              <w:rPr>
                <w:rFonts w:cstheme="minorHAnsi"/>
                <w:b/>
                <w:lang w:val="en-US"/>
              </w:rPr>
              <w:t>Recovery Premium</w:t>
            </w:r>
          </w:p>
        </w:tc>
      </w:tr>
      <w:tr>
        <w:trPr>
          <w:trHeight w:val="1369"/>
        </w:trPr>
        <w:tc>
          <w:tcPr>
            <w:tcW w:w="13948" w:type="dxa"/>
          </w:tcPr>
          <w:p>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In February 2021, the government announced a one-off recovery premium as part of its package of funding to support education recovery.</w:t>
            </w:r>
          </w:p>
          <w:p>
            <w:pPr>
              <w:pStyle w:val="NormalWeb"/>
              <w:shd w:val="clear" w:color="auto" w:fill="FFFFFF"/>
              <w:spacing w:before="300" w:beforeAutospacing="0" w:after="300" w:afterAutospacing="0"/>
              <w:rPr>
                <w:rFonts w:asciiTheme="minorHAnsi" w:hAnsiTheme="minorHAnsi" w:cstheme="minorHAnsi"/>
                <w:sz w:val="22"/>
                <w:szCs w:val="22"/>
                <w:lang w:val="en-US"/>
              </w:rPr>
            </w:pPr>
            <w:r>
              <w:rPr>
                <w:rFonts w:asciiTheme="minorHAnsi" w:hAnsiTheme="minorHAnsi" w:cstheme="minorHAnsi"/>
                <w:color w:val="0B0C0C"/>
                <w:sz w:val="22"/>
                <w:szCs w:val="22"/>
              </w:rPr>
              <w:t>The recovery premium provides additional funding for state-funded schools in the 2021 to 2022 academic year. Building on the </w:t>
            </w:r>
            <w:hyperlink r:id="rId8" w:history="1">
              <w:r>
                <w:rPr>
                  <w:rStyle w:val="Hyperlink"/>
                  <w:rFonts w:asciiTheme="minorHAnsi" w:hAnsiTheme="minorHAnsi" w:cstheme="minorHAnsi"/>
                  <w:color w:val="1D70B8"/>
                  <w:sz w:val="22"/>
                  <w:szCs w:val="22"/>
                </w:rPr>
                <w:t>pupil premium</w:t>
              </w:r>
            </w:hyperlink>
            <w:r>
              <w:rPr>
                <w:rFonts w:asciiTheme="minorHAnsi" w:hAnsiTheme="minorHAnsi" w:cstheme="minorHAnsi"/>
                <w:color w:val="0B0C0C"/>
                <w:sz w:val="22"/>
                <w:szCs w:val="22"/>
              </w:rPr>
              <w:t>, this funding will help schools to deliver evidence-based approaches for supporting disadvantaged pupils.</w:t>
            </w:r>
          </w:p>
        </w:tc>
      </w:tr>
      <w:tr>
        <w:tc>
          <w:tcPr>
            <w:tcW w:w="13948" w:type="dxa"/>
            <w:vAlign w:val="bottom"/>
          </w:tcPr>
          <w:p>
            <w:pPr>
              <w:jc w:val="right"/>
              <w:rPr>
                <w:b/>
                <w:lang w:val="en-US"/>
              </w:rPr>
            </w:pPr>
            <w:r>
              <w:rPr>
                <w:rFonts w:eastAsia="Times New Roman" w:cstheme="minorHAnsi"/>
                <w:color w:val="0B0C0C"/>
                <w:lang w:eastAsia="en-GB"/>
              </w:rPr>
              <w:t>Budget Allocation:</w:t>
            </w:r>
          </w:p>
        </w:tc>
      </w:tr>
      <w:tr>
        <w:tc>
          <w:tcPr>
            <w:tcW w:w="13948" w:type="dxa"/>
          </w:tcPr>
          <w:p>
            <w:pPr>
              <w:jc w:val="right"/>
              <w:rPr>
                <w:b/>
                <w:lang w:val="en-US"/>
              </w:rPr>
            </w:pPr>
            <w:r>
              <w:rPr>
                <w:b/>
                <w:lang w:val="en-US"/>
              </w:rPr>
              <w:t>£6,525</w:t>
            </w:r>
          </w:p>
        </w:tc>
      </w:tr>
      <w:tr>
        <w:tc>
          <w:tcPr>
            <w:tcW w:w="13948" w:type="dxa"/>
          </w:tcPr>
          <w:p>
            <w:pPr>
              <w:rPr>
                <w:b/>
                <w:lang w:val="en-US"/>
              </w:rPr>
            </w:pPr>
            <w:r>
              <w:rPr>
                <w:b/>
                <w:lang w:val="en-US"/>
              </w:rPr>
              <w:t>The National Tutoring Programme</w:t>
            </w:r>
          </w:p>
        </w:tc>
      </w:tr>
      <w:tr>
        <w:tc>
          <w:tcPr>
            <w:tcW w:w="13948" w:type="dxa"/>
          </w:tcPr>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The National Tutoring Programme (NTP) is an ambitious scheme intended to provide additional, targeted support for those children and young people in schools who have been most affected by disruption to their education as a result of the coronavirus (COVID-19) pandemic.</w:t>
            </w:r>
          </w:p>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During the first year of the programme introduced in November of the 2020 to 2021 academic year, state-maintained primary and secondary schools in England were able to access high-quality subsidised tutoring provision for 5 to 16-year-olds using 2 routes, tuition partners and academic mentors</w:t>
            </w:r>
            <w:r>
              <w:rPr>
                <w:rFonts w:eastAsia="Times New Roman" w:cstheme="minorHAnsi"/>
                <w:i/>
                <w:color w:val="0B0C0C"/>
                <w:szCs w:val="29"/>
                <w:lang w:eastAsia="en-GB"/>
              </w:rPr>
              <w:t>. (As an academy, we were not eligible to this funding.)</w:t>
            </w:r>
          </w:p>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The second year covers the 2021 to 2022 academic year and builds on the first phase. Based on feedback from schools, we have expanded the NTP for the second year of the programme, offering state-funded schools and academy trusts 3 routes to tutoring:</w:t>
            </w:r>
          </w:p>
          <w:p>
            <w:pPr>
              <w:pStyle w:val="ListParagraph"/>
              <w:numPr>
                <w:ilvl w:val="0"/>
                <w:numId w:val="12"/>
              </w:numPr>
              <w:shd w:val="clear" w:color="auto" w:fill="FFFFFF"/>
              <w:spacing w:before="300" w:after="75"/>
              <w:rPr>
                <w:rFonts w:eastAsia="Times New Roman" w:cstheme="minorHAnsi"/>
                <w:color w:val="0B0C0C"/>
                <w:szCs w:val="29"/>
                <w:lang w:eastAsia="en-GB"/>
              </w:rPr>
            </w:pPr>
            <w:r>
              <w:rPr>
                <w:rFonts w:eastAsia="Times New Roman" w:cstheme="minorHAnsi"/>
                <w:color w:val="0B0C0C"/>
                <w:szCs w:val="29"/>
                <w:lang w:eastAsia="en-GB"/>
              </w:rPr>
              <w:t>tuition partners</w:t>
            </w:r>
          </w:p>
          <w:p>
            <w:pPr>
              <w:pStyle w:val="ListParagraph"/>
              <w:numPr>
                <w:ilvl w:val="0"/>
                <w:numId w:val="12"/>
              </w:numPr>
              <w:shd w:val="clear" w:color="auto" w:fill="FFFFFF"/>
              <w:spacing w:before="300" w:after="75"/>
              <w:rPr>
                <w:lang w:val="en-US"/>
              </w:rPr>
            </w:pPr>
            <w:r>
              <w:rPr>
                <w:rFonts w:eastAsia="Times New Roman" w:cstheme="minorHAnsi"/>
                <w:color w:val="0B0C0C"/>
                <w:szCs w:val="29"/>
                <w:lang w:eastAsia="en-GB"/>
              </w:rPr>
              <w:t>academic mentors</w:t>
            </w:r>
          </w:p>
          <w:p>
            <w:pPr>
              <w:pStyle w:val="ListParagraph"/>
              <w:numPr>
                <w:ilvl w:val="0"/>
                <w:numId w:val="12"/>
              </w:numPr>
              <w:shd w:val="clear" w:color="auto" w:fill="FFFFFF"/>
              <w:spacing w:before="300" w:after="75"/>
              <w:rPr>
                <w:lang w:val="en-US"/>
              </w:rPr>
            </w:pPr>
            <w:r>
              <w:rPr>
                <w:rFonts w:eastAsia="Times New Roman" w:cstheme="minorHAnsi"/>
                <w:color w:val="0B0C0C"/>
                <w:szCs w:val="29"/>
                <w:lang w:eastAsia="en-GB"/>
              </w:rPr>
              <w:t>school-led tutoring</w:t>
            </w:r>
          </w:p>
        </w:tc>
      </w:tr>
      <w:tr>
        <w:tc>
          <w:tcPr>
            <w:tcW w:w="13948" w:type="dxa"/>
            <w:vAlign w:val="bottom"/>
          </w:tcPr>
          <w:p>
            <w:pPr>
              <w:jc w:val="right"/>
              <w:rPr>
                <w:lang w:val="en-US"/>
              </w:rPr>
            </w:pPr>
            <w:r>
              <w:rPr>
                <w:rFonts w:eastAsia="Times New Roman" w:cstheme="minorHAnsi"/>
                <w:color w:val="0B0C0C"/>
                <w:lang w:eastAsia="en-GB"/>
              </w:rPr>
              <w:t>Budget Allocation:</w:t>
            </w:r>
          </w:p>
        </w:tc>
      </w:tr>
      <w:tr>
        <w:tc>
          <w:tcPr>
            <w:tcW w:w="13948" w:type="dxa"/>
          </w:tcPr>
          <w:p>
            <w:pPr>
              <w:jc w:val="right"/>
              <w:rPr>
                <w:b/>
                <w:lang w:val="en-US"/>
              </w:rPr>
            </w:pPr>
            <w:r>
              <w:rPr>
                <w:b/>
                <w:lang w:val="en-US"/>
              </w:rPr>
              <w:t>£6,682.50</w:t>
            </w:r>
          </w:p>
        </w:tc>
      </w:tr>
      <w:tr>
        <w:tc>
          <w:tcPr>
            <w:tcW w:w="13948" w:type="dxa"/>
          </w:tcPr>
          <w:p>
            <w:pPr>
              <w:rPr>
                <w:b/>
                <w:lang w:val="en-US"/>
              </w:rPr>
            </w:pPr>
            <w:r>
              <w:rPr>
                <w:b/>
                <w:lang w:val="en-US"/>
              </w:rPr>
              <w:lastRenderedPageBreak/>
              <w:t>Academic Mentor</w:t>
            </w:r>
          </w:p>
        </w:tc>
      </w:tr>
      <w:tr>
        <w:tc>
          <w:tcPr>
            <w:tcW w:w="13948" w:type="dxa"/>
          </w:tcPr>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In summer 2020, the government announced the National Tutoring Programme (NTP) to help support disadvantaged pupils to catch-up on missed learning. One pillar of NTP is the academic mentor programme.</w:t>
            </w:r>
          </w:p>
          <w:p>
            <w:pPr>
              <w:shd w:val="clear" w:color="auto" w:fill="FFFFFF"/>
              <w:spacing w:before="300" w:after="300"/>
              <w:rPr>
                <w:lang w:val="en-US"/>
              </w:rPr>
            </w:pPr>
            <w:r>
              <w:rPr>
                <w:rFonts w:eastAsia="Times New Roman" w:cstheme="minorHAnsi"/>
                <w:color w:val="0B0C0C"/>
                <w:szCs w:val="29"/>
                <w:lang w:eastAsia="en-GB"/>
              </w:rPr>
              <w:t>Academic mentors will support one-to-one and small-group, subject-specific tuition. They may also support revision lessons and provide additional support for pupils shielding or not in school. Academic mentors will be a part of their school’s staff team and will be supported and managed by the school to deliver tutoring that is appropriate, timely, and linked to their curriculum.</w:t>
            </w:r>
          </w:p>
        </w:tc>
      </w:tr>
      <w:tr>
        <w:tc>
          <w:tcPr>
            <w:tcW w:w="13948" w:type="dxa"/>
            <w:vAlign w:val="bottom"/>
          </w:tcPr>
          <w:p>
            <w:pPr>
              <w:jc w:val="right"/>
              <w:rPr>
                <w:lang w:val="en-US"/>
              </w:rPr>
            </w:pPr>
            <w:r>
              <w:rPr>
                <w:rFonts w:eastAsia="Times New Roman" w:cstheme="minorHAnsi"/>
                <w:color w:val="0B0C0C"/>
                <w:lang w:eastAsia="en-GB"/>
              </w:rPr>
              <w:t>Budget Allocation:</w:t>
            </w:r>
          </w:p>
        </w:tc>
      </w:tr>
      <w:tr>
        <w:tc>
          <w:tcPr>
            <w:tcW w:w="13948" w:type="dxa"/>
          </w:tcPr>
          <w:p>
            <w:pPr>
              <w:jc w:val="right"/>
              <w:rPr>
                <w:b/>
                <w:lang w:val="en-US"/>
              </w:rPr>
            </w:pPr>
            <w:r>
              <w:rPr>
                <w:b/>
                <w:lang w:val="en-US"/>
              </w:rPr>
              <w:t>Approximately £7,500</w:t>
            </w:r>
          </w:p>
        </w:tc>
      </w:tr>
      <w:tr>
        <w:tc>
          <w:tcPr>
            <w:tcW w:w="13948" w:type="dxa"/>
          </w:tcPr>
          <w:p>
            <w:pPr>
              <w:rPr>
                <w:b/>
                <w:lang w:val="en-US"/>
              </w:rPr>
            </w:pPr>
            <w:r>
              <w:rPr>
                <w:b/>
                <w:lang w:val="en-US"/>
              </w:rPr>
              <w:t>Sports Premium</w:t>
            </w:r>
          </w:p>
        </w:tc>
      </w:tr>
      <w:tr>
        <w:tc>
          <w:tcPr>
            <w:tcW w:w="13948" w:type="dxa"/>
          </w:tcPr>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Schools must use the funding to make additional and sustainable improvements to the quality of the PE, physical activity and sport they provide. This includes any carried forward funding.</w:t>
            </w:r>
          </w:p>
          <w:p>
            <w:pPr>
              <w:shd w:val="clear" w:color="auto" w:fill="FFFFFF"/>
              <w:spacing w:before="300" w:after="300"/>
              <w:rPr>
                <w:rFonts w:eastAsia="Times New Roman" w:cstheme="minorHAnsi"/>
                <w:color w:val="0B0C0C"/>
                <w:szCs w:val="29"/>
                <w:lang w:eastAsia="en-GB"/>
              </w:rPr>
            </w:pPr>
            <w:r>
              <w:rPr>
                <w:rFonts w:eastAsia="Times New Roman" w:cstheme="minorHAnsi"/>
                <w:color w:val="0B0C0C"/>
                <w:szCs w:val="29"/>
                <w:lang w:eastAsia="en-GB"/>
              </w:rPr>
              <w:t>This means that you must use the PE and sport premium to:</w:t>
            </w:r>
          </w:p>
          <w:p>
            <w:pPr>
              <w:numPr>
                <w:ilvl w:val="0"/>
                <w:numId w:val="2"/>
              </w:numPr>
              <w:shd w:val="clear" w:color="auto" w:fill="FFFFFF"/>
              <w:spacing w:after="75"/>
              <w:ind w:left="300"/>
              <w:rPr>
                <w:rFonts w:eastAsia="Times New Roman" w:cstheme="minorHAnsi"/>
                <w:color w:val="0B0C0C"/>
                <w:szCs w:val="29"/>
                <w:lang w:eastAsia="en-GB"/>
              </w:rPr>
            </w:pPr>
            <w:r>
              <w:rPr>
                <w:rFonts w:eastAsia="Times New Roman" w:cstheme="minorHAnsi"/>
                <w:color w:val="0B0C0C"/>
                <w:szCs w:val="29"/>
                <w:lang w:eastAsia="en-GB"/>
              </w:rPr>
              <w:t>develop or add to the PE, physical activity and sport that your school provides</w:t>
            </w:r>
          </w:p>
          <w:p>
            <w:pPr>
              <w:numPr>
                <w:ilvl w:val="0"/>
                <w:numId w:val="2"/>
              </w:numPr>
              <w:shd w:val="clear" w:color="auto" w:fill="FFFFFF"/>
              <w:spacing w:after="75"/>
              <w:ind w:left="300"/>
              <w:rPr>
                <w:lang w:val="en-US"/>
              </w:rPr>
            </w:pPr>
            <w:r>
              <w:rPr>
                <w:rFonts w:eastAsia="Times New Roman" w:cstheme="minorHAnsi"/>
                <w:color w:val="0B0C0C"/>
                <w:szCs w:val="29"/>
                <w:lang w:eastAsia="en-GB"/>
              </w:rPr>
              <w:t>build capacity and capability within the school to ensure that improvements made now are sustainable and will benefit pupils joining the school in future years</w:t>
            </w:r>
          </w:p>
        </w:tc>
      </w:tr>
      <w:tr>
        <w:trPr>
          <w:trHeight w:val="272"/>
        </w:trPr>
        <w:tc>
          <w:tcPr>
            <w:tcW w:w="13948" w:type="dxa"/>
          </w:tcPr>
          <w:p>
            <w:pPr>
              <w:shd w:val="clear" w:color="auto" w:fill="FFFFFF"/>
              <w:spacing w:after="100" w:afterAutospacing="1"/>
              <w:jc w:val="right"/>
              <w:rPr>
                <w:rFonts w:eastAsia="Times New Roman" w:cstheme="minorHAnsi"/>
                <w:b/>
                <w:color w:val="0B0C0C"/>
                <w:szCs w:val="29"/>
                <w:lang w:eastAsia="en-GB"/>
              </w:rPr>
            </w:pPr>
            <w:r>
              <w:rPr>
                <w:rFonts w:eastAsia="Times New Roman" w:cstheme="minorHAnsi"/>
                <w:b/>
                <w:color w:val="0B0C0C"/>
                <w:szCs w:val="29"/>
                <w:lang w:eastAsia="en-GB"/>
              </w:rPr>
              <w:t>Budget Allocation:</w:t>
            </w:r>
          </w:p>
        </w:tc>
      </w:tr>
      <w:tr>
        <w:trPr>
          <w:trHeight w:val="272"/>
        </w:trPr>
        <w:tc>
          <w:tcPr>
            <w:tcW w:w="13948" w:type="dxa"/>
            <w:vAlign w:val="bottom"/>
          </w:tcPr>
          <w:p>
            <w:pPr>
              <w:shd w:val="clear" w:color="auto" w:fill="FFFFFF"/>
              <w:spacing w:after="100" w:afterAutospacing="1"/>
              <w:jc w:val="right"/>
              <w:rPr>
                <w:rFonts w:eastAsia="Times New Roman" w:cstheme="minorHAnsi"/>
                <w:b/>
                <w:color w:val="0B0C0C"/>
                <w:szCs w:val="29"/>
                <w:lang w:eastAsia="en-GB"/>
              </w:rPr>
            </w:pPr>
            <w:r>
              <w:rPr>
                <w:rFonts w:eastAsia="Times New Roman" w:cstheme="minorHAnsi"/>
                <w:b/>
                <w:color w:val="0B0C0C"/>
                <w:lang w:eastAsia="en-GB"/>
              </w:rPr>
              <w:t>£18,690</w:t>
            </w:r>
          </w:p>
        </w:tc>
      </w:tr>
    </w:tbl>
    <w:p>
      <w:pPr>
        <w:rPr>
          <w:lang w:val="en-US"/>
        </w:rPr>
      </w:pPr>
      <w:r>
        <w:rPr>
          <w:lang w:val="en-US"/>
        </w:rPr>
        <w:br w:type="page"/>
      </w:r>
    </w:p>
    <w:tbl>
      <w:tblPr>
        <w:tblStyle w:val="TableGrid"/>
        <w:tblW w:w="0" w:type="auto"/>
        <w:tblLook w:val="04A0" w:firstRow="1" w:lastRow="0" w:firstColumn="1" w:lastColumn="0" w:noHBand="0" w:noVBand="1"/>
      </w:tblPr>
      <w:tblGrid>
        <w:gridCol w:w="13948"/>
      </w:tblGrid>
      <w:tr>
        <w:tc>
          <w:tcPr>
            <w:tcW w:w="13948" w:type="dxa"/>
          </w:tcPr>
          <w:p>
            <w:pPr>
              <w:rPr>
                <w:b/>
                <w:lang w:val="en-US"/>
              </w:rPr>
            </w:pPr>
            <w:r>
              <w:rPr>
                <w:b/>
                <w:sz w:val="28"/>
                <w:lang w:val="en-US"/>
              </w:rPr>
              <w:lastRenderedPageBreak/>
              <w:t>Current School Position:</w:t>
            </w:r>
          </w:p>
        </w:tc>
      </w:tr>
      <w:tr>
        <w:tc>
          <w:tcPr>
            <w:tcW w:w="13948" w:type="dxa"/>
          </w:tcPr>
          <w:p>
            <w:pPr>
              <w:rPr>
                <w:lang w:val="en-US"/>
              </w:rPr>
            </w:pPr>
            <w:r>
              <w:rPr>
                <w:noProof/>
                <w:lang w:eastAsia="en-GB"/>
              </w:rPr>
              <w:drawing>
                <wp:inline distT="0" distB="0" distL="0" distR="0">
                  <wp:extent cx="8181975" cy="133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5319" cy="1342404"/>
                          </a:xfrm>
                          <a:prstGeom prst="rect">
                            <a:avLst/>
                          </a:prstGeom>
                        </pic:spPr>
                      </pic:pic>
                    </a:graphicData>
                  </a:graphic>
                </wp:inline>
              </w:drawing>
            </w:r>
          </w:p>
          <w:p>
            <w:pPr>
              <w:rPr>
                <w:lang w:val="en-US"/>
              </w:rPr>
            </w:pPr>
          </w:p>
        </w:tc>
      </w:tr>
      <w:tr>
        <w:tc>
          <w:tcPr>
            <w:tcW w:w="13948" w:type="dxa"/>
          </w:tcPr>
          <w:p>
            <w:pPr>
              <w:rPr>
                <w:lang w:val="en-US"/>
              </w:rPr>
            </w:pPr>
            <w:r>
              <w:rPr>
                <w:noProof/>
                <w:lang w:eastAsia="en-GB"/>
              </w:rPr>
              <w:drawing>
                <wp:inline distT="0" distB="0" distL="0" distR="0">
                  <wp:extent cx="886333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3954780"/>
                          </a:xfrm>
                          <a:prstGeom prst="rect">
                            <a:avLst/>
                          </a:prstGeom>
                        </pic:spPr>
                      </pic:pic>
                    </a:graphicData>
                  </a:graphic>
                </wp:inline>
              </w:drawing>
            </w:r>
          </w:p>
        </w:tc>
      </w:tr>
      <w:tr>
        <w:tc>
          <w:tcPr>
            <w:tcW w:w="13948" w:type="dxa"/>
          </w:tcPr>
          <w:p>
            <w:pPr>
              <w:rPr>
                <w:lang w:val="en-US"/>
              </w:rPr>
            </w:pPr>
            <w:r>
              <w:rPr>
                <w:noProof/>
                <w:lang w:eastAsia="en-GB"/>
              </w:rPr>
              <w:lastRenderedPageBreak/>
              <w:drawing>
                <wp:inline distT="0" distB="0" distL="0" distR="0">
                  <wp:extent cx="8620125" cy="140683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52889" cy="1412185"/>
                          </a:xfrm>
                          <a:prstGeom prst="rect">
                            <a:avLst/>
                          </a:prstGeom>
                        </pic:spPr>
                      </pic:pic>
                    </a:graphicData>
                  </a:graphic>
                </wp:inline>
              </w:drawing>
            </w:r>
          </w:p>
        </w:tc>
      </w:tr>
      <w:tr>
        <w:tc>
          <w:tcPr>
            <w:tcW w:w="13948" w:type="dxa"/>
          </w:tcPr>
          <w:p>
            <w:pPr>
              <w:rPr>
                <w:lang w:val="en-US"/>
              </w:rPr>
            </w:pPr>
            <w:r>
              <w:rPr>
                <w:noProof/>
                <w:lang w:eastAsia="en-GB"/>
              </w:rPr>
              <w:drawing>
                <wp:inline distT="0" distB="0" distL="0" distR="0">
                  <wp:extent cx="8863330" cy="278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2789555"/>
                          </a:xfrm>
                          <a:prstGeom prst="rect">
                            <a:avLst/>
                          </a:prstGeom>
                        </pic:spPr>
                      </pic:pic>
                    </a:graphicData>
                  </a:graphic>
                </wp:inline>
              </w:drawing>
            </w:r>
          </w:p>
        </w:tc>
      </w:tr>
      <w:tr>
        <w:tc>
          <w:tcPr>
            <w:tcW w:w="13948" w:type="dxa"/>
          </w:tcPr>
          <w:p>
            <w:pPr>
              <w:rPr>
                <w:lang w:val="en-US"/>
              </w:rPr>
            </w:pPr>
          </w:p>
        </w:tc>
      </w:tr>
      <w:tr>
        <w:tc>
          <w:tcPr>
            <w:tcW w:w="13948" w:type="dxa"/>
          </w:tcPr>
          <w:p>
            <w:pPr>
              <w:rPr>
                <w:b/>
                <w:sz w:val="24"/>
                <w:lang w:val="en-US"/>
              </w:rPr>
            </w:pPr>
            <w:r>
              <w:rPr>
                <w:b/>
                <w:sz w:val="24"/>
                <w:lang w:val="en-US"/>
              </w:rPr>
              <w:t>Issues raised from 2020-21 data</w:t>
            </w:r>
          </w:p>
        </w:tc>
      </w:tr>
      <w:tr>
        <w:tc>
          <w:tcPr>
            <w:tcW w:w="13948" w:type="dxa"/>
          </w:tcPr>
          <w:p>
            <w:pPr>
              <w:pStyle w:val="ListParagraph"/>
              <w:numPr>
                <w:ilvl w:val="0"/>
                <w:numId w:val="6"/>
              </w:numPr>
              <w:rPr>
                <w:lang w:val="en-US"/>
              </w:rPr>
            </w:pPr>
            <w:r>
              <w:rPr>
                <w:lang w:val="en-US"/>
              </w:rPr>
              <w:t>All year groups are below age expectation in Writing, with pupil premium being below non-pupil premium</w:t>
            </w:r>
          </w:p>
        </w:tc>
      </w:tr>
      <w:tr>
        <w:tc>
          <w:tcPr>
            <w:tcW w:w="13948" w:type="dxa"/>
          </w:tcPr>
          <w:p>
            <w:pPr>
              <w:pStyle w:val="ListParagraph"/>
              <w:numPr>
                <w:ilvl w:val="0"/>
                <w:numId w:val="6"/>
              </w:numPr>
              <w:rPr>
                <w:lang w:val="en-US"/>
              </w:rPr>
            </w:pPr>
            <w:r>
              <w:rPr>
                <w:lang w:val="en-US"/>
              </w:rPr>
              <w:t>All year groups (except current Year 2) are below age expectation in Reading</w:t>
            </w:r>
          </w:p>
        </w:tc>
      </w:tr>
      <w:tr>
        <w:tc>
          <w:tcPr>
            <w:tcW w:w="13948" w:type="dxa"/>
          </w:tcPr>
          <w:p>
            <w:pPr>
              <w:pStyle w:val="ListParagraph"/>
              <w:numPr>
                <w:ilvl w:val="0"/>
                <w:numId w:val="6"/>
              </w:numPr>
              <w:rPr>
                <w:lang w:val="en-US"/>
              </w:rPr>
            </w:pPr>
            <w:r>
              <w:rPr>
                <w:lang w:val="en-US"/>
              </w:rPr>
              <w:t xml:space="preserve">All year groups (except current Year 2) are below age expectation in </w:t>
            </w:r>
            <w:proofErr w:type="spellStart"/>
            <w:r>
              <w:rPr>
                <w:lang w:val="en-US"/>
              </w:rPr>
              <w:t>Maths</w:t>
            </w:r>
            <w:proofErr w:type="spellEnd"/>
          </w:p>
        </w:tc>
      </w:tr>
      <w:tr>
        <w:tc>
          <w:tcPr>
            <w:tcW w:w="13948" w:type="dxa"/>
          </w:tcPr>
          <w:p>
            <w:pPr>
              <w:pStyle w:val="ListParagraph"/>
              <w:numPr>
                <w:ilvl w:val="0"/>
                <w:numId w:val="6"/>
              </w:numPr>
              <w:rPr>
                <w:lang w:val="en-US"/>
              </w:rPr>
            </w:pPr>
            <w:r>
              <w:rPr>
                <w:lang w:val="en-US"/>
              </w:rPr>
              <w:t>Current Year 5 and 3 pupil premium children are below non-pupil premium children in all subjects.</w:t>
            </w:r>
          </w:p>
        </w:tc>
      </w:tr>
      <w:tr>
        <w:tc>
          <w:tcPr>
            <w:tcW w:w="13948" w:type="dxa"/>
          </w:tcPr>
          <w:p>
            <w:pPr>
              <w:rPr>
                <w:lang w:val="en-US"/>
              </w:rPr>
            </w:pPr>
          </w:p>
        </w:tc>
      </w:tr>
    </w:tbl>
    <w:p>
      <w:pPr>
        <w:rPr>
          <w:lang w:val="en-US"/>
        </w:rPr>
      </w:pPr>
      <w:r>
        <w:rPr>
          <w:lang w:val="en-US"/>
        </w:rPr>
        <w:br w:type="page"/>
      </w:r>
    </w:p>
    <w:tbl>
      <w:tblPr>
        <w:tblStyle w:val="TableGrid"/>
        <w:tblW w:w="0" w:type="auto"/>
        <w:tblLook w:val="04A0" w:firstRow="1" w:lastRow="0" w:firstColumn="1" w:lastColumn="0" w:noHBand="0" w:noVBand="1"/>
      </w:tblPr>
      <w:tblGrid>
        <w:gridCol w:w="3539"/>
        <w:gridCol w:w="10409"/>
      </w:tblGrid>
      <w:tr>
        <w:tc>
          <w:tcPr>
            <w:tcW w:w="3539" w:type="dxa"/>
          </w:tcPr>
          <w:p>
            <w:pPr>
              <w:pStyle w:val="1bodycopy"/>
              <w:rPr>
                <w:rFonts w:asciiTheme="minorHAnsi" w:hAnsiTheme="minorHAnsi" w:cstheme="minorHAnsi"/>
                <w:sz w:val="28"/>
              </w:rPr>
            </w:pPr>
            <w:r>
              <w:rPr>
                <w:rFonts w:asciiTheme="minorHAnsi" w:hAnsiTheme="minorHAnsi" w:cstheme="minorHAnsi"/>
                <w:sz w:val="36"/>
              </w:rPr>
              <w:lastRenderedPageBreak/>
              <w:t>SDP priorities</w:t>
            </w:r>
          </w:p>
        </w:tc>
        <w:tc>
          <w:tcPr>
            <w:tcW w:w="10409" w:type="dxa"/>
          </w:tcPr>
          <w:p>
            <w:pPr>
              <w:pStyle w:val="1bodycopy"/>
              <w:rPr>
                <w:rFonts w:asciiTheme="minorHAnsi" w:hAnsiTheme="minorHAnsi" w:cstheme="minorHAnsi"/>
                <w:sz w:val="28"/>
              </w:rPr>
            </w:pP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1</w:t>
            </w:r>
          </w:p>
          <w:p>
            <w:pPr>
              <w:pStyle w:val="1bodycopy"/>
              <w:rPr>
                <w:rFonts w:asciiTheme="minorHAnsi" w:hAnsiTheme="minorHAnsi" w:cstheme="minorHAnsi"/>
                <w:sz w:val="28"/>
              </w:rPr>
            </w:pPr>
          </w:p>
        </w:tc>
        <w:tc>
          <w:tcPr>
            <w:tcW w:w="10409" w:type="dxa"/>
          </w:tcPr>
          <w:p>
            <w:pPr>
              <w:pStyle w:val="1bodycopy"/>
              <w:ind w:left="156"/>
              <w:rPr>
                <w:rFonts w:asciiTheme="minorHAnsi" w:hAnsiTheme="minorHAnsi" w:cstheme="minorHAnsi"/>
                <w:sz w:val="28"/>
              </w:rPr>
            </w:pPr>
            <w:r>
              <w:rPr>
                <w:rFonts w:asciiTheme="minorHAnsi" w:hAnsiTheme="minorHAnsi" w:cstheme="minorHAnsi"/>
                <w:sz w:val="28"/>
              </w:rPr>
              <w:t xml:space="preserve">To continue to develop the curriculum to ensure it is broad and balanced, so that it has a positive impact on every pupils’ progress. </w:t>
            </w: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2</w:t>
            </w:r>
          </w:p>
          <w:p>
            <w:pPr>
              <w:pStyle w:val="1bodycopy"/>
              <w:rPr>
                <w:rFonts w:asciiTheme="minorHAnsi" w:hAnsiTheme="minorHAnsi" w:cstheme="minorHAnsi"/>
                <w:sz w:val="28"/>
              </w:rPr>
            </w:pPr>
          </w:p>
        </w:tc>
        <w:tc>
          <w:tcPr>
            <w:tcW w:w="10409" w:type="dxa"/>
          </w:tcPr>
          <w:p>
            <w:pPr>
              <w:pStyle w:val="7Tablecopybulleted"/>
              <w:numPr>
                <w:ilvl w:val="0"/>
                <w:numId w:val="0"/>
              </w:numPr>
              <w:ind w:left="170"/>
              <w:rPr>
                <w:rFonts w:asciiTheme="minorHAnsi" w:hAnsiTheme="minorHAnsi" w:cstheme="minorHAnsi"/>
                <w:sz w:val="28"/>
              </w:rPr>
            </w:pPr>
            <w:r>
              <w:rPr>
                <w:rFonts w:asciiTheme="minorHAnsi" w:hAnsiTheme="minorHAnsi" w:cstheme="minorHAnsi"/>
                <w:sz w:val="28"/>
              </w:rPr>
              <w:t>To develop a coherent Whole School strategy document incorporating PPG, Recovery premium, sports premium and 1:1 tuition.</w:t>
            </w: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3</w:t>
            </w:r>
          </w:p>
          <w:p>
            <w:pPr>
              <w:pStyle w:val="1bodycopy"/>
              <w:rPr>
                <w:rFonts w:asciiTheme="minorHAnsi" w:hAnsiTheme="minorHAnsi" w:cstheme="minorHAnsi"/>
                <w:sz w:val="28"/>
              </w:rPr>
            </w:pPr>
          </w:p>
        </w:tc>
        <w:tc>
          <w:tcPr>
            <w:tcW w:w="10409" w:type="dxa"/>
          </w:tcPr>
          <w:p>
            <w:pPr>
              <w:pStyle w:val="7Tablecopybulleted"/>
              <w:numPr>
                <w:ilvl w:val="0"/>
                <w:numId w:val="0"/>
              </w:numPr>
              <w:ind w:left="170"/>
              <w:rPr>
                <w:rFonts w:asciiTheme="minorHAnsi" w:hAnsiTheme="minorHAnsi" w:cstheme="minorHAnsi"/>
                <w:sz w:val="28"/>
              </w:rPr>
            </w:pPr>
            <w:r>
              <w:rPr>
                <w:rFonts w:asciiTheme="minorHAnsi" w:hAnsiTheme="minorHAnsi" w:cstheme="minorHAnsi"/>
                <w:sz w:val="28"/>
              </w:rPr>
              <w:t xml:space="preserve">To develop all staff and governors understanding of </w:t>
            </w:r>
            <w:proofErr w:type="spellStart"/>
            <w:r>
              <w:rPr>
                <w:rFonts w:asciiTheme="minorHAnsi" w:hAnsiTheme="minorHAnsi" w:cstheme="minorHAnsi"/>
                <w:sz w:val="28"/>
              </w:rPr>
              <w:t>Ofsted</w:t>
            </w:r>
            <w:proofErr w:type="spellEnd"/>
            <w:r>
              <w:rPr>
                <w:rFonts w:asciiTheme="minorHAnsi" w:hAnsiTheme="minorHAnsi" w:cstheme="minorHAnsi"/>
                <w:sz w:val="28"/>
              </w:rPr>
              <w:t xml:space="preserve"> inspection requirements and use this understanding to further enhance pupils’ progress.</w:t>
            </w:r>
          </w:p>
        </w:tc>
      </w:tr>
      <w:tr>
        <w:tc>
          <w:tcPr>
            <w:tcW w:w="3539" w:type="dxa"/>
          </w:tcPr>
          <w:p>
            <w:pPr>
              <w:pStyle w:val="1bodycopy"/>
              <w:rPr>
                <w:rFonts w:asciiTheme="minorHAnsi" w:hAnsiTheme="minorHAnsi" w:cstheme="minorHAnsi"/>
                <w:sz w:val="28"/>
              </w:rPr>
            </w:pPr>
            <w:r>
              <w:rPr>
                <w:rFonts w:asciiTheme="minorHAnsi" w:hAnsiTheme="minorHAnsi" w:cstheme="minorHAnsi"/>
                <w:sz w:val="28"/>
              </w:rPr>
              <w:t>Objective 4</w:t>
            </w:r>
          </w:p>
          <w:p>
            <w:pPr>
              <w:pStyle w:val="1bodycopy"/>
              <w:rPr>
                <w:rFonts w:asciiTheme="minorHAnsi" w:hAnsiTheme="minorHAnsi" w:cstheme="minorHAnsi"/>
                <w:sz w:val="28"/>
              </w:rPr>
            </w:pPr>
          </w:p>
        </w:tc>
        <w:tc>
          <w:tcPr>
            <w:tcW w:w="10409" w:type="dxa"/>
          </w:tcPr>
          <w:p>
            <w:pPr>
              <w:pStyle w:val="7Tablecopybulleted"/>
              <w:numPr>
                <w:ilvl w:val="0"/>
                <w:numId w:val="0"/>
              </w:numPr>
              <w:ind w:left="170"/>
              <w:rPr>
                <w:rFonts w:asciiTheme="minorHAnsi" w:hAnsiTheme="minorHAnsi" w:cstheme="minorHAnsi"/>
                <w:sz w:val="28"/>
              </w:rPr>
            </w:pPr>
            <w:r>
              <w:rPr>
                <w:rFonts w:asciiTheme="minorHAnsi" w:hAnsiTheme="minorHAnsi" w:cstheme="minorHAnsi"/>
                <w:sz w:val="28"/>
              </w:rPr>
              <w:t>To ensure that phonics and reading remain a high priority throughout the school.</w:t>
            </w:r>
          </w:p>
        </w:tc>
      </w:tr>
      <w:tr>
        <w:tc>
          <w:tcPr>
            <w:tcW w:w="3539" w:type="dxa"/>
          </w:tcPr>
          <w:p>
            <w:pPr>
              <w:pStyle w:val="1bodycopy"/>
              <w:rPr>
                <w:rFonts w:asciiTheme="minorHAnsi" w:hAnsiTheme="minorHAnsi" w:cstheme="minorHAnsi"/>
                <w:sz w:val="28"/>
              </w:rPr>
            </w:pPr>
          </w:p>
        </w:tc>
        <w:tc>
          <w:tcPr>
            <w:tcW w:w="10409" w:type="dxa"/>
          </w:tcPr>
          <w:p>
            <w:pPr>
              <w:pStyle w:val="7Tablecopybulleted"/>
              <w:numPr>
                <w:ilvl w:val="0"/>
                <w:numId w:val="0"/>
              </w:numPr>
              <w:rPr>
                <w:rFonts w:asciiTheme="minorHAnsi" w:hAnsiTheme="minorHAnsi" w:cstheme="minorHAnsi"/>
                <w:sz w:val="28"/>
              </w:rPr>
            </w:pPr>
          </w:p>
        </w:tc>
      </w:tr>
      <w:tr>
        <w:tc>
          <w:tcPr>
            <w:tcW w:w="3539" w:type="dxa"/>
          </w:tcPr>
          <w:p>
            <w:pPr>
              <w:pStyle w:val="1bodycopy"/>
              <w:rPr>
                <w:rFonts w:asciiTheme="minorHAnsi" w:hAnsiTheme="minorHAnsi" w:cstheme="minorHAnsi"/>
                <w:sz w:val="28"/>
              </w:rPr>
            </w:pPr>
          </w:p>
        </w:tc>
        <w:tc>
          <w:tcPr>
            <w:tcW w:w="10409" w:type="dxa"/>
          </w:tcPr>
          <w:p>
            <w:pPr>
              <w:pStyle w:val="7Tablecopybulleted"/>
              <w:numPr>
                <w:ilvl w:val="0"/>
                <w:numId w:val="0"/>
              </w:numPr>
              <w:rPr>
                <w:rFonts w:asciiTheme="minorHAnsi" w:hAnsiTheme="minorHAnsi" w:cstheme="minorHAnsi"/>
                <w:sz w:val="28"/>
              </w:rPr>
            </w:pPr>
          </w:p>
        </w:tc>
      </w:tr>
      <w:tr>
        <w:tc>
          <w:tcPr>
            <w:tcW w:w="3539" w:type="dxa"/>
          </w:tcPr>
          <w:p>
            <w:pPr>
              <w:pStyle w:val="1bodycopy"/>
              <w:rPr>
                <w:sz w:val="28"/>
              </w:rPr>
            </w:pPr>
          </w:p>
        </w:tc>
        <w:tc>
          <w:tcPr>
            <w:tcW w:w="10409" w:type="dxa"/>
          </w:tcPr>
          <w:p>
            <w:pPr>
              <w:pStyle w:val="7Tablecopybulleted"/>
              <w:numPr>
                <w:ilvl w:val="0"/>
                <w:numId w:val="0"/>
              </w:numPr>
              <w:rPr>
                <w:sz w:val="28"/>
              </w:rPr>
            </w:pPr>
          </w:p>
        </w:tc>
      </w:tr>
      <w:tr>
        <w:tc>
          <w:tcPr>
            <w:tcW w:w="3539" w:type="dxa"/>
          </w:tcPr>
          <w:p>
            <w:pPr>
              <w:pStyle w:val="1bodycopy"/>
              <w:rPr>
                <w:sz w:val="28"/>
              </w:rPr>
            </w:pPr>
          </w:p>
        </w:tc>
        <w:tc>
          <w:tcPr>
            <w:tcW w:w="10409" w:type="dxa"/>
          </w:tcPr>
          <w:p>
            <w:pPr>
              <w:pStyle w:val="7Tablecopybulleted"/>
              <w:numPr>
                <w:ilvl w:val="0"/>
                <w:numId w:val="0"/>
              </w:numPr>
              <w:rPr>
                <w:sz w:val="28"/>
              </w:rPr>
            </w:pPr>
          </w:p>
        </w:tc>
      </w:tr>
    </w:tbl>
    <w:p>
      <w:pPr>
        <w:rPr>
          <w:lang w:val="en-US"/>
        </w:rPr>
      </w:pPr>
    </w:p>
    <w:p>
      <w:pPr>
        <w:rPr>
          <w:lang w:val="en-US"/>
        </w:rPr>
      </w:pPr>
      <w:r>
        <w:rPr>
          <w:lang w:val="en-US"/>
        </w:rPr>
        <w:br w:type="page"/>
      </w:r>
    </w:p>
    <w:tbl>
      <w:tblPr>
        <w:tblStyle w:val="TableGrid"/>
        <w:tblW w:w="0" w:type="auto"/>
        <w:tblLook w:val="04A0" w:firstRow="1" w:lastRow="0" w:firstColumn="1" w:lastColumn="0" w:noHBand="0" w:noVBand="1"/>
      </w:tblPr>
      <w:tblGrid>
        <w:gridCol w:w="9825"/>
        <w:gridCol w:w="4123"/>
      </w:tblGrid>
      <w:tr>
        <w:tc>
          <w:tcPr>
            <w:tcW w:w="9825" w:type="dxa"/>
          </w:tcPr>
          <w:p>
            <w:pPr>
              <w:rPr>
                <w:b/>
                <w:lang w:val="en-US"/>
              </w:rPr>
            </w:pPr>
            <w:r>
              <w:rPr>
                <w:b/>
                <w:lang w:val="en-US"/>
              </w:rPr>
              <w:lastRenderedPageBreak/>
              <w:t>Pupil Premium &amp; Recovery Premium – 3year Long Term Plan</w:t>
            </w:r>
          </w:p>
        </w:tc>
        <w:tc>
          <w:tcPr>
            <w:tcW w:w="4123" w:type="dxa"/>
          </w:tcPr>
          <w:p>
            <w:pPr>
              <w:rPr>
                <w:b/>
                <w:lang w:val="en-US"/>
              </w:rPr>
            </w:pPr>
          </w:p>
        </w:tc>
      </w:tr>
      <w:tr>
        <w:tc>
          <w:tcPr>
            <w:tcW w:w="9825" w:type="dxa"/>
          </w:tcPr>
          <w:p>
            <w:pPr>
              <w:rPr>
                <w:lang w:val="en-US"/>
              </w:rPr>
            </w:pPr>
          </w:p>
        </w:tc>
        <w:tc>
          <w:tcPr>
            <w:tcW w:w="4123" w:type="dxa"/>
          </w:tcPr>
          <w:p>
            <w:pPr>
              <w:rPr>
                <w:lang w:val="en-US"/>
              </w:rPr>
            </w:pPr>
            <w:r>
              <w:rPr>
                <w:lang w:val="en-US"/>
              </w:rPr>
              <w:t>Link to SDP</w:t>
            </w:r>
          </w:p>
        </w:tc>
      </w:tr>
      <w:tr>
        <w:tc>
          <w:tcPr>
            <w:tcW w:w="9825" w:type="dxa"/>
          </w:tcPr>
          <w:p>
            <w:pPr>
              <w:pStyle w:val="1bodycopy"/>
              <w:spacing w:after="0"/>
              <w:rPr>
                <w:rFonts w:ascii="Calibri" w:hAnsi="Calibri" w:cs="Calibri"/>
                <w:b/>
                <w:caps/>
                <w:sz w:val="22"/>
                <w:szCs w:val="22"/>
              </w:rPr>
            </w:pPr>
            <w:r>
              <w:rPr>
                <w:rFonts w:ascii="Calibri" w:hAnsi="Calibri" w:cs="Calibri"/>
                <w:b/>
                <w:caps/>
                <w:sz w:val="22"/>
                <w:szCs w:val="22"/>
              </w:rPr>
              <w:t>I</w:t>
            </w:r>
            <w:r>
              <w:rPr>
                <w:rFonts w:ascii="Calibri" w:hAnsi="Calibri" w:cs="Calibri"/>
                <w:b/>
                <w:sz w:val="22"/>
                <w:szCs w:val="22"/>
              </w:rPr>
              <w:t xml:space="preserve">mproving quality of teaching </w:t>
            </w:r>
            <w:r>
              <w:rPr>
                <w:rFonts w:ascii="Calibri" w:hAnsi="Calibri" w:cs="Calibri"/>
                <w:b/>
                <w:caps/>
                <w:sz w:val="22"/>
                <w:szCs w:val="22"/>
              </w:rPr>
              <w:t xml:space="preserve">– </w:t>
            </w:r>
            <w:r>
              <w:rPr>
                <w:rFonts w:ascii="Calibri" w:hAnsi="Calibri" w:cs="Calibri"/>
                <w:b/>
                <w:sz w:val="22"/>
                <w:szCs w:val="22"/>
              </w:rPr>
              <w:t>metacognition and self-regulation</w:t>
            </w:r>
          </w:p>
          <w:p>
            <w:pPr>
              <w:rPr>
                <w:lang w:val="en-US"/>
              </w:rPr>
            </w:pPr>
          </w:p>
        </w:tc>
        <w:tc>
          <w:tcPr>
            <w:tcW w:w="4123" w:type="dxa"/>
          </w:tcPr>
          <w:p>
            <w:pPr>
              <w:rPr>
                <w:lang w:val="en-US"/>
              </w:rPr>
            </w:pPr>
          </w:p>
          <w:p>
            <w:pPr>
              <w:rPr>
                <w:lang w:val="en-US"/>
              </w:rPr>
            </w:pPr>
          </w:p>
        </w:tc>
      </w:tr>
      <w:tr>
        <w:tc>
          <w:tcPr>
            <w:tcW w:w="9825" w:type="dxa"/>
          </w:tcPr>
          <w:p>
            <w:pPr>
              <w:pStyle w:val="1bodycopy"/>
              <w:spacing w:after="0"/>
              <w:rPr>
                <w:rFonts w:ascii="Calibri" w:hAnsi="Calibri" w:cs="Calibri"/>
                <w:caps/>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pStyle w:val="1bodycopy"/>
              <w:spacing w:after="0"/>
              <w:rPr>
                <w:rFonts w:ascii="Calibri" w:hAnsi="Calibri" w:cs="Calibri"/>
                <w:caps/>
                <w:sz w:val="22"/>
                <w:szCs w:val="22"/>
              </w:rPr>
            </w:pPr>
          </w:p>
        </w:tc>
      </w:tr>
      <w:tr>
        <w:tc>
          <w:tcPr>
            <w:tcW w:w="9825" w:type="dxa"/>
          </w:tcPr>
          <w:p>
            <w:pPr>
              <w:pStyle w:val="1bodycopy"/>
              <w:numPr>
                <w:ilvl w:val="0"/>
                <w:numId w:val="9"/>
              </w:numPr>
              <w:spacing w:after="0"/>
              <w:rPr>
                <w:rFonts w:ascii="Calibri" w:hAnsi="Calibri" w:cs="Calibri"/>
                <w:caps/>
                <w:sz w:val="22"/>
                <w:szCs w:val="22"/>
              </w:rPr>
            </w:pPr>
            <w:r>
              <w:rPr>
                <w:rFonts w:asciiTheme="minorHAnsi" w:hAnsiTheme="minorHAnsi" w:cstheme="minorHAnsi"/>
                <w:sz w:val="22"/>
                <w:szCs w:val="22"/>
              </w:rPr>
              <w:t>Staff training on metacognition strategies</w:t>
            </w:r>
          </w:p>
        </w:tc>
        <w:tc>
          <w:tcPr>
            <w:tcW w:w="4123" w:type="dxa"/>
          </w:tcPr>
          <w:p>
            <w:pPr>
              <w:pStyle w:val="1bodycopy"/>
              <w:spacing w:after="0"/>
              <w:rPr>
                <w:rFonts w:ascii="Calibri" w:hAnsi="Calibri" w:cs="Calibri"/>
                <w:caps/>
                <w:sz w:val="22"/>
                <w:szCs w:val="22"/>
              </w:rPr>
            </w:pPr>
            <w:r>
              <w:rPr>
                <w:rFonts w:ascii="Calibri" w:hAnsi="Calibri" w:cs="Calibri"/>
                <w:sz w:val="22"/>
                <w:szCs w:val="22"/>
              </w:rPr>
              <w:t>Objective 1</w:t>
            </w:r>
          </w:p>
        </w:tc>
      </w:tr>
      <w:tr>
        <w:tc>
          <w:tcPr>
            <w:tcW w:w="9825" w:type="dxa"/>
          </w:tcPr>
          <w:p>
            <w:pPr>
              <w:pStyle w:val="1bodycopy"/>
              <w:numPr>
                <w:ilvl w:val="0"/>
                <w:numId w:val="9"/>
              </w:numPr>
              <w:spacing w:after="0"/>
              <w:rPr>
                <w:rFonts w:asciiTheme="minorHAnsi" w:hAnsiTheme="minorHAnsi" w:cstheme="minorHAnsi"/>
                <w:sz w:val="22"/>
                <w:szCs w:val="22"/>
              </w:rPr>
            </w:pPr>
            <w:r>
              <w:rPr>
                <w:rFonts w:asciiTheme="minorHAnsi" w:hAnsiTheme="minorHAnsi" w:cstheme="minorHAnsi"/>
                <w:sz w:val="22"/>
                <w:szCs w:val="22"/>
              </w:rPr>
              <w:t>CGP workbooks purchased for all year groups to support Catch-up interventions.</w:t>
            </w:r>
          </w:p>
        </w:tc>
        <w:tc>
          <w:tcPr>
            <w:tcW w:w="4123" w:type="dxa"/>
          </w:tcPr>
          <w:p>
            <w:pPr>
              <w:pStyle w:val="1bodycopy"/>
              <w:spacing w:after="0"/>
              <w:rPr>
                <w:rFonts w:ascii="Calibri" w:hAnsi="Calibri" w:cs="Calibri"/>
                <w:sz w:val="22"/>
                <w:szCs w:val="22"/>
              </w:rPr>
            </w:pPr>
          </w:p>
        </w:tc>
      </w:tr>
      <w:tr>
        <w:tc>
          <w:tcPr>
            <w:tcW w:w="9825" w:type="dxa"/>
          </w:tcPr>
          <w:p>
            <w:pPr>
              <w:pStyle w:val="1bodycopy"/>
              <w:spacing w:after="0"/>
              <w:ind w:left="720"/>
              <w:rPr>
                <w:rFonts w:ascii="Calibri" w:hAnsi="Calibri" w:cs="Calibri"/>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Calibri" w:hAnsi="Calibri" w:cs="Calibri"/>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Calibri" w:hAnsi="Calibri" w:cs="Calibri"/>
                <w:b/>
                <w:caps/>
                <w:sz w:val="22"/>
                <w:szCs w:val="22"/>
              </w:rPr>
            </w:pPr>
            <w:r>
              <w:rPr>
                <w:rFonts w:ascii="Calibri" w:hAnsi="Calibri" w:cs="Calibri"/>
                <w:b/>
                <w:sz w:val="22"/>
                <w:szCs w:val="22"/>
              </w:rPr>
              <w:t>Rapid and sustained progress made in reading and phonics for all pupils, including disadvantaged and SEND</w:t>
            </w:r>
            <w:r>
              <w:rPr>
                <w:rFonts w:ascii="Calibri" w:hAnsi="Calibri" w:cs="Calibri"/>
                <w:b/>
                <w:caps/>
                <w:sz w:val="22"/>
                <w:szCs w:val="22"/>
              </w:rPr>
              <w:t>.</w:t>
            </w:r>
          </w:p>
          <w:p>
            <w:pPr>
              <w:rPr>
                <w:lang w:val="en-US"/>
              </w:rPr>
            </w:pPr>
          </w:p>
        </w:tc>
        <w:tc>
          <w:tcPr>
            <w:tcW w:w="4123" w:type="dxa"/>
          </w:tcPr>
          <w:p>
            <w:pPr>
              <w:rPr>
                <w:lang w:val="en-US"/>
              </w:rPr>
            </w:pPr>
          </w:p>
          <w:p>
            <w:pPr>
              <w:rPr>
                <w:lang w:val="en-US"/>
              </w:rPr>
            </w:pPr>
          </w:p>
        </w:tc>
      </w:tr>
      <w:tr>
        <w:tc>
          <w:tcPr>
            <w:tcW w:w="9825" w:type="dxa"/>
          </w:tcPr>
          <w:p>
            <w:pPr>
              <w:pStyle w:val="1bodycopy"/>
              <w:spacing w:after="0"/>
              <w:rPr>
                <w:rFonts w:ascii="Calibri" w:hAnsi="Calibri" w:cs="Calibri"/>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r>
              <w:rPr>
                <w:rFonts w:asciiTheme="minorHAnsi" w:hAnsiTheme="minorHAnsi" w:cstheme="minorHAnsi"/>
                <w:iCs/>
                <w:sz w:val="22"/>
                <w:szCs w:val="22"/>
              </w:rPr>
              <w:t>Reading &amp; Phonics intervention strategies for Year 1 and children not achieving age expectation through LSA team.</w:t>
            </w:r>
          </w:p>
        </w:tc>
        <w:tc>
          <w:tcPr>
            <w:tcW w:w="4123" w:type="dxa"/>
          </w:tcPr>
          <w:p>
            <w:pPr>
              <w:rPr>
                <w:lang w:val="en-US"/>
              </w:rPr>
            </w:pPr>
            <w:r>
              <w:rPr>
                <w:rFonts w:ascii="Calibri" w:hAnsi="Calibri" w:cs="Calibri"/>
              </w:rPr>
              <w:t>Objective 1, 4</w:t>
            </w:r>
          </w:p>
        </w:tc>
      </w:tr>
      <w:tr>
        <w:tc>
          <w:tcPr>
            <w:tcW w:w="9825" w:type="dxa"/>
          </w:tcPr>
          <w:p>
            <w:pPr>
              <w:pStyle w:val="1bodycopy"/>
              <w:numPr>
                <w:ilvl w:val="0"/>
                <w:numId w:val="8"/>
              </w:numPr>
              <w:spacing w:after="0"/>
              <w:rPr>
                <w:rFonts w:ascii="Calibri" w:hAnsi="Calibri" w:cs="Calibri"/>
                <w:sz w:val="22"/>
                <w:szCs w:val="22"/>
              </w:rPr>
            </w:pPr>
            <w:r>
              <w:rPr>
                <w:rFonts w:asciiTheme="minorHAnsi" w:hAnsiTheme="minorHAnsi" w:cstheme="minorHAnsi"/>
                <w:sz w:val="22"/>
                <w:szCs w:val="22"/>
              </w:rPr>
              <w:t>Additional LSA support to deliver a timetable of intervention strategies each afternoon.</w:t>
            </w:r>
          </w:p>
        </w:tc>
        <w:tc>
          <w:tcPr>
            <w:tcW w:w="4123" w:type="dxa"/>
          </w:tcPr>
          <w:p>
            <w:pPr>
              <w:rPr>
                <w:lang w:val="en-US"/>
              </w:rPr>
            </w:pPr>
            <w:r>
              <w:rPr>
                <w:rFonts w:ascii="Calibri" w:hAnsi="Calibri" w:cs="Calibri"/>
              </w:rPr>
              <w:t>Objective 1, 4</w:t>
            </w:r>
          </w:p>
        </w:tc>
      </w:tr>
      <w:tr>
        <w:tc>
          <w:tcPr>
            <w:tcW w:w="9825" w:type="dxa"/>
          </w:tcPr>
          <w:p>
            <w:pPr>
              <w:pStyle w:val="1bodycopy"/>
              <w:spacing w:after="0"/>
              <w:rPr>
                <w:rFonts w:ascii="Calibri" w:hAnsi="Calibri" w:cs="Calibri"/>
                <w:sz w:val="22"/>
                <w:szCs w:val="22"/>
              </w:rPr>
            </w:pPr>
          </w:p>
        </w:tc>
        <w:tc>
          <w:tcPr>
            <w:tcW w:w="4123" w:type="dxa"/>
          </w:tcPr>
          <w:p>
            <w:pPr>
              <w:rPr>
                <w:lang w:val="en-US"/>
              </w:rPr>
            </w:pPr>
          </w:p>
        </w:tc>
      </w:tr>
      <w:tr>
        <w:tc>
          <w:tcPr>
            <w:tcW w:w="9825" w:type="dxa"/>
          </w:tcPr>
          <w:p>
            <w:pPr>
              <w:pStyle w:val="1bodycopy"/>
              <w:spacing w:after="0"/>
              <w:rPr>
                <w:rFonts w:ascii="Calibri" w:hAnsi="Calibri" w:cs="Calibri"/>
                <w:sz w:val="22"/>
                <w:szCs w:val="22"/>
              </w:rPr>
            </w:pPr>
          </w:p>
        </w:tc>
        <w:tc>
          <w:tcPr>
            <w:tcW w:w="4123" w:type="dxa"/>
          </w:tcPr>
          <w:p>
            <w:pPr>
              <w:rPr>
                <w:lang w:val="en-US"/>
              </w:rPr>
            </w:pPr>
          </w:p>
        </w:tc>
      </w:tr>
      <w:tr>
        <w:tc>
          <w:tcPr>
            <w:tcW w:w="9825" w:type="dxa"/>
          </w:tcPr>
          <w:p>
            <w:pPr>
              <w:pStyle w:val="1bodycopy"/>
              <w:tabs>
                <w:tab w:val="left" w:pos="1110"/>
              </w:tabs>
              <w:spacing w:after="0"/>
              <w:rPr>
                <w:rFonts w:ascii="Calibri" w:hAnsi="Calibri" w:cs="Calibri"/>
                <w:b/>
                <w:caps/>
                <w:sz w:val="22"/>
                <w:szCs w:val="22"/>
              </w:rPr>
            </w:pPr>
            <w:r>
              <w:rPr>
                <w:rFonts w:ascii="Calibri" w:hAnsi="Calibri" w:cs="Calibri"/>
                <w:b/>
                <w:caps/>
                <w:sz w:val="22"/>
                <w:szCs w:val="22"/>
              </w:rPr>
              <w:t>D</w:t>
            </w:r>
            <w:r>
              <w:rPr>
                <w:rFonts w:ascii="Calibri" w:hAnsi="Calibri" w:cs="Calibri"/>
                <w:b/>
                <w:sz w:val="22"/>
                <w:szCs w:val="22"/>
              </w:rPr>
              <w:t>eveloping a robust pastoral support system within the school, including developing the Behaviour Management System to ensure consistency in approach across all staff.</w:t>
            </w:r>
          </w:p>
          <w:p>
            <w:pPr>
              <w:rPr>
                <w:lang w:val="en-US"/>
              </w:rPr>
            </w:pPr>
          </w:p>
        </w:tc>
        <w:tc>
          <w:tcPr>
            <w:tcW w:w="4123" w:type="dxa"/>
          </w:tcPr>
          <w:p>
            <w:pPr>
              <w:rPr>
                <w:lang w:val="en-US"/>
              </w:rPr>
            </w:pPr>
          </w:p>
        </w:tc>
      </w:tr>
      <w:tr>
        <w:tc>
          <w:tcPr>
            <w:tcW w:w="9825" w:type="dxa"/>
          </w:tcPr>
          <w:p>
            <w:pPr>
              <w:pStyle w:val="1bodycopy"/>
              <w:tabs>
                <w:tab w:val="left" w:pos="1110"/>
              </w:tabs>
              <w:spacing w:after="0"/>
              <w:rPr>
                <w:rFonts w:ascii="Calibri" w:hAnsi="Calibri" w:cs="Calibri"/>
                <w:caps/>
                <w:sz w:val="22"/>
                <w:szCs w:val="22"/>
              </w:rPr>
            </w:pPr>
            <w:r>
              <w:rPr>
                <w:rFonts w:ascii="Calibri" w:hAnsi="Calibri" w:cs="Calibri"/>
                <w:sz w:val="22"/>
                <w:szCs w:val="22"/>
              </w:rPr>
              <w:t>Actions</w:t>
            </w:r>
            <w:r>
              <w:rPr>
                <w:rFonts w:ascii="Calibri" w:hAnsi="Calibri" w:cs="Calibri"/>
                <w:caps/>
                <w:sz w:val="22"/>
                <w:szCs w:val="22"/>
              </w:rPr>
              <w:t xml:space="preserve"> 2021-22</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Calibri" w:hAnsi="Calibri" w:cs="Calibri"/>
                <w:caps/>
                <w:sz w:val="22"/>
                <w:szCs w:val="22"/>
              </w:rPr>
            </w:pPr>
            <w:r>
              <w:rPr>
                <w:rFonts w:asciiTheme="minorHAnsi" w:hAnsiTheme="minorHAnsi" w:cstheme="minorHAnsi"/>
                <w:sz w:val="22"/>
                <w:szCs w:val="22"/>
              </w:rPr>
              <w:t>Whole Staff training for behaviour management strategies</w:t>
            </w:r>
          </w:p>
        </w:tc>
        <w:tc>
          <w:tcPr>
            <w:tcW w:w="4123" w:type="dxa"/>
          </w:tcPr>
          <w:p>
            <w:pPr>
              <w:rPr>
                <w:lang w:val="en-US"/>
              </w:rPr>
            </w:pPr>
            <w:r>
              <w:rPr>
                <w:rFonts w:ascii="Calibri" w:hAnsi="Calibri" w:cs="Calibri"/>
              </w:rPr>
              <w:t>Objective 1</w:t>
            </w: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BATIC counselling funded for students, families and staff</w:t>
            </w:r>
          </w:p>
        </w:tc>
        <w:tc>
          <w:tcPr>
            <w:tcW w:w="4123" w:type="dxa"/>
          </w:tcPr>
          <w:p>
            <w:pPr>
              <w:rPr>
                <w:rFonts w:ascii="Calibri" w:hAnsi="Calibri" w:cs="Calibri"/>
              </w:rPr>
            </w:pPr>
          </w:p>
        </w:tc>
      </w:tr>
      <w:tr>
        <w:tc>
          <w:tcPr>
            <w:tcW w:w="9825" w:type="dxa"/>
          </w:tcPr>
          <w:p>
            <w:pPr>
              <w:pStyle w:val="1bodycopy"/>
              <w:numPr>
                <w:ilvl w:val="0"/>
                <w:numId w:val="7"/>
              </w:numPr>
              <w:tabs>
                <w:tab w:val="left" w:pos="1110"/>
              </w:tabs>
              <w:spacing w:after="0"/>
              <w:rPr>
                <w:rFonts w:ascii="Calibri" w:hAnsi="Calibri" w:cs="Calibri"/>
                <w:caps/>
                <w:sz w:val="22"/>
                <w:szCs w:val="22"/>
              </w:rPr>
            </w:pPr>
            <w:r>
              <w:rPr>
                <w:rFonts w:asciiTheme="minorHAnsi" w:hAnsiTheme="minorHAnsi" w:cstheme="minorHAnsi"/>
                <w:sz w:val="22"/>
                <w:szCs w:val="22"/>
              </w:rPr>
              <w:t>Additional LSA support to deliver a timetable of intervention strategies each afternoon.</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Calibri" w:hAnsi="Calibri" w:cs="Calibri"/>
                <w:caps/>
                <w:sz w:val="22"/>
                <w:szCs w:val="22"/>
              </w:rPr>
            </w:pPr>
            <w:r>
              <w:rPr>
                <w:rFonts w:asciiTheme="minorHAnsi" w:hAnsiTheme="minorHAnsi" w:cstheme="minorHAnsi"/>
                <w:sz w:val="22"/>
                <w:szCs w:val="22"/>
              </w:rPr>
              <w:t>Attendance consultants to help monitor attendance and persistent absence</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Head teacher to complete Mental Health Lead training</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Becoming a Mental Health Support Team Training School</w:t>
            </w:r>
          </w:p>
        </w:tc>
        <w:tc>
          <w:tcPr>
            <w:tcW w:w="4123" w:type="dxa"/>
          </w:tcPr>
          <w:p>
            <w:pPr>
              <w:rPr>
                <w:lang w:val="en-US"/>
              </w:rPr>
            </w:pPr>
          </w:p>
        </w:tc>
      </w:tr>
      <w:tr>
        <w:tc>
          <w:tcPr>
            <w:tcW w:w="9825" w:type="dxa"/>
          </w:tcPr>
          <w:p>
            <w:pPr>
              <w:pStyle w:val="1bodycopy"/>
              <w:numPr>
                <w:ilvl w:val="0"/>
                <w:numId w:val="7"/>
              </w:numPr>
              <w:tabs>
                <w:tab w:val="left" w:pos="1110"/>
              </w:tabs>
              <w:spacing w:after="0"/>
              <w:rPr>
                <w:rFonts w:asciiTheme="minorHAnsi" w:hAnsiTheme="minorHAnsi" w:cstheme="minorHAnsi"/>
                <w:sz w:val="22"/>
                <w:szCs w:val="22"/>
              </w:rPr>
            </w:pPr>
            <w:r>
              <w:rPr>
                <w:rFonts w:asciiTheme="minorHAnsi" w:hAnsiTheme="minorHAnsi" w:cstheme="minorHAnsi"/>
                <w:sz w:val="22"/>
                <w:szCs w:val="22"/>
              </w:rPr>
              <w:t>Anti-Bullying Ambassador training attended by Head teacher, Staff and pupils</w:t>
            </w:r>
          </w:p>
        </w:tc>
        <w:tc>
          <w:tcPr>
            <w:tcW w:w="4123" w:type="dxa"/>
          </w:tcPr>
          <w:p>
            <w:pPr>
              <w:rPr>
                <w:lang w:val="en-US"/>
              </w:rPr>
            </w:pPr>
          </w:p>
        </w:tc>
      </w:tr>
      <w:tr>
        <w:tc>
          <w:tcPr>
            <w:tcW w:w="9825" w:type="dxa"/>
          </w:tcPr>
          <w:p>
            <w:pPr>
              <w:pStyle w:val="1bodycopy"/>
              <w:tabs>
                <w:tab w:val="left" w:pos="1110"/>
              </w:tabs>
              <w:spacing w:after="0"/>
              <w:ind w:left="720"/>
              <w:rPr>
                <w:rFonts w:asciiTheme="minorHAnsi" w:hAnsiTheme="minorHAnsi" w:cstheme="minorHAnsi"/>
                <w:sz w:val="22"/>
                <w:szCs w:val="22"/>
              </w:rPr>
            </w:pPr>
          </w:p>
        </w:tc>
        <w:tc>
          <w:tcPr>
            <w:tcW w:w="4123" w:type="dxa"/>
          </w:tcPr>
          <w:p>
            <w:pPr>
              <w:rPr>
                <w:lang w:val="en-US"/>
              </w:rPr>
            </w:pPr>
          </w:p>
        </w:tc>
      </w:tr>
      <w:tr>
        <w:tc>
          <w:tcPr>
            <w:tcW w:w="9825" w:type="dxa"/>
          </w:tcPr>
          <w:p>
            <w:pPr>
              <w:pStyle w:val="1bodycopy"/>
              <w:tabs>
                <w:tab w:val="left" w:pos="1110"/>
              </w:tabs>
              <w:spacing w:after="0"/>
              <w:rPr>
                <w:rFonts w:ascii="Calibri" w:hAnsi="Calibri" w:cs="Calibri"/>
                <w:b/>
                <w:sz w:val="22"/>
                <w:szCs w:val="22"/>
              </w:rPr>
            </w:pPr>
            <w:r>
              <w:rPr>
                <w:rFonts w:ascii="Calibri" w:hAnsi="Calibri" w:cs="Calibri"/>
                <w:b/>
                <w:caps/>
                <w:sz w:val="22"/>
                <w:szCs w:val="22"/>
              </w:rPr>
              <w:t>I</w:t>
            </w:r>
            <w:r>
              <w:rPr>
                <w:rFonts w:ascii="Calibri" w:hAnsi="Calibri" w:cs="Calibri"/>
                <w:b/>
                <w:sz w:val="22"/>
                <w:szCs w:val="22"/>
              </w:rPr>
              <w:t>ndividually tailored strategies to support disadvantaged children with specific challenges</w:t>
            </w:r>
          </w:p>
          <w:p>
            <w:pPr>
              <w:pStyle w:val="1bodycopy"/>
              <w:tabs>
                <w:tab w:val="left" w:pos="1110"/>
              </w:tabs>
              <w:spacing w:after="0"/>
              <w:rPr>
                <w:rFonts w:ascii="Calibri" w:hAnsi="Calibri" w:cs="Calibri"/>
                <w:caps/>
                <w:sz w:val="22"/>
                <w:szCs w:val="22"/>
              </w:rPr>
            </w:pPr>
          </w:p>
        </w:tc>
        <w:tc>
          <w:tcPr>
            <w:tcW w:w="4123" w:type="dxa"/>
          </w:tcPr>
          <w:p>
            <w:pPr>
              <w:rPr>
                <w:rFonts w:ascii="Calibri" w:eastAsia="MS Mincho" w:hAnsi="Calibri" w:cs="Calibri"/>
                <w:caps/>
                <w:lang w:val="en-US"/>
              </w:rPr>
            </w:pPr>
          </w:p>
          <w:p>
            <w:pPr>
              <w:pStyle w:val="1bodycopy"/>
              <w:tabs>
                <w:tab w:val="left" w:pos="1110"/>
              </w:tabs>
              <w:spacing w:after="0"/>
              <w:rPr>
                <w:rFonts w:ascii="Calibri" w:hAnsi="Calibri" w:cs="Calibri"/>
                <w:caps/>
                <w:sz w:val="22"/>
                <w:szCs w:val="22"/>
              </w:rPr>
            </w:pPr>
          </w:p>
        </w:tc>
      </w:tr>
      <w:tr>
        <w:tc>
          <w:tcPr>
            <w:tcW w:w="9825" w:type="dxa"/>
          </w:tcPr>
          <w:p>
            <w:pPr>
              <w:pStyle w:val="1bodycopy"/>
              <w:tabs>
                <w:tab w:val="left" w:pos="1110"/>
              </w:tabs>
              <w:spacing w:after="0"/>
              <w:rPr>
                <w:rFonts w:ascii="Calibri" w:hAnsi="Calibri" w:cs="Calibri"/>
                <w:caps/>
                <w:sz w:val="22"/>
                <w:szCs w:val="22"/>
              </w:rPr>
            </w:pPr>
            <w:r>
              <w:rPr>
                <w:rFonts w:ascii="Calibri" w:hAnsi="Calibri" w:cs="Calibri"/>
                <w:sz w:val="22"/>
                <w:szCs w:val="22"/>
              </w:rPr>
              <w:t>Actions</w:t>
            </w:r>
            <w:r>
              <w:rPr>
                <w:rFonts w:ascii="Calibri" w:hAnsi="Calibri" w:cs="Calibri"/>
                <w:caps/>
                <w:sz w:val="22"/>
                <w:szCs w:val="22"/>
              </w:rPr>
              <w:t xml:space="preserve"> 2021-22</w:t>
            </w:r>
            <w:bookmarkStart w:id="0" w:name="_GoBack"/>
            <w:bookmarkEnd w:id="0"/>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lastRenderedPageBreak/>
              <w:t>Breakfast regularly provided for two students</w:t>
            </w:r>
          </w:p>
        </w:tc>
        <w:tc>
          <w:tcPr>
            <w:tcW w:w="4123" w:type="dxa"/>
          </w:tcPr>
          <w:p>
            <w:pPr>
              <w:pStyle w:val="1bodycopy"/>
              <w:tabs>
                <w:tab w:val="left" w:pos="1110"/>
              </w:tabs>
              <w:spacing w:after="0"/>
              <w:rPr>
                <w:rFonts w:ascii="Calibri" w:hAnsi="Calibri" w:cs="Calibri"/>
                <w:caps/>
                <w:sz w:val="22"/>
              </w:rPr>
            </w:pPr>
            <w:r>
              <w:rPr>
                <w:rFonts w:ascii="Calibri" w:hAnsi="Calibri" w:cs="Calibri"/>
                <w:sz w:val="22"/>
              </w:rPr>
              <w:t>Objective 1</w:t>
            </w: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School uniform and basic equipment supplied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Trips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Clothing items for a residential trip supplied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After school clubs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Taxis provided to and from school</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Swimming lessons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Transport for parents to attend school based meetings provided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numPr>
                <w:ilvl w:val="0"/>
                <w:numId w:val="11"/>
              </w:numPr>
              <w:tabs>
                <w:tab w:val="left" w:pos="1110"/>
              </w:tabs>
              <w:spacing w:after="0"/>
              <w:rPr>
                <w:rFonts w:ascii="Calibri" w:hAnsi="Calibri" w:cs="Calibri"/>
                <w:caps/>
                <w:sz w:val="22"/>
              </w:rPr>
            </w:pPr>
            <w:r>
              <w:rPr>
                <w:rFonts w:ascii="Calibri" w:hAnsi="Calibri" w:cs="Calibri"/>
                <w:sz w:val="22"/>
              </w:rPr>
              <w:t>Laptops supplied for use at home (</w:t>
            </w:r>
            <w:proofErr w:type="spellStart"/>
            <w:r>
              <w:rPr>
                <w:rFonts w:ascii="Calibri" w:hAnsi="Calibri" w:cs="Calibri"/>
                <w:sz w:val="22"/>
              </w:rPr>
              <w:t>DfE</w:t>
            </w:r>
            <w:proofErr w:type="spellEnd"/>
            <w:r>
              <w:rPr>
                <w:rFonts w:ascii="Calibri" w:hAnsi="Calibri" w:cs="Calibri"/>
                <w:sz w:val="22"/>
              </w:rPr>
              <w:t xml:space="preserve"> funded)</w:t>
            </w: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tabs>
                <w:tab w:val="left" w:pos="1110"/>
              </w:tabs>
              <w:spacing w:after="0"/>
              <w:rPr>
                <w:rFonts w:ascii="Calibri" w:hAnsi="Calibri" w:cs="Calibri"/>
                <w:caps/>
                <w:sz w:val="22"/>
              </w:rPr>
            </w:pPr>
          </w:p>
        </w:tc>
        <w:tc>
          <w:tcPr>
            <w:tcW w:w="4123" w:type="dxa"/>
          </w:tcPr>
          <w:p>
            <w:pPr>
              <w:pStyle w:val="1bodycopy"/>
              <w:tabs>
                <w:tab w:val="left" w:pos="1110"/>
              </w:tabs>
              <w:spacing w:after="0"/>
              <w:rPr>
                <w:rFonts w:ascii="Calibri" w:hAnsi="Calibri" w:cs="Calibri"/>
                <w:caps/>
                <w:sz w:val="22"/>
              </w:rPr>
            </w:pPr>
          </w:p>
        </w:tc>
      </w:tr>
      <w:tr>
        <w:tc>
          <w:tcPr>
            <w:tcW w:w="9825" w:type="dxa"/>
          </w:tcPr>
          <w:p>
            <w:pPr>
              <w:pStyle w:val="1bodycopy"/>
              <w:tabs>
                <w:tab w:val="left" w:pos="1110"/>
              </w:tabs>
              <w:spacing w:after="0"/>
              <w:rPr>
                <w:rFonts w:ascii="Calibri" w:hAnsi="Calibri" w:cs="Calibri"/>
                <w:caps/>
                <w:sz w:val="22"/>
              </w:rPr>
            </w:pPr>
          </w:p>
        </w:tc>
        <w:tc>
          <w:tcPr>
            <w:tcW w:w="4123" w:type="dxa"/>
          </w:tcPr>
          <w:p>
            <w:pPr>
              <w:pStyle w:val="1bodycopy"/>
              <w:tabs>
                <w:tab w:val="left" w:pos="1110"/>
              </w:tabs>
              <w:spacing w:after="0"/>
              <w:rPr>
                <w:rFonts w:ascii="Calibri" w:hAnsi="Calibri" w:cs="Calibri"/>
                <w:caps/>
                <w:sz w:val="22"/>
              </w:rPr>
            </w:pPr>
          </w:p>
        </w:tc>
      </w:tr>
    </w:tbl>
    <w:p>
      <w:pPr>
        <w:rPr>
          <w:lang w:val="en-US"/>
        </w:rPr>
      </w:pPr>
    </w:p>
    <w:tbl>
      <w:tblPr>
        <w:tblStyle w:val="TableGrid"/>
        <w:tblW w:w="0" w:type="auto"/>
        <w:tblLook w:val="04A0" w:firstRow="1" w:lastRow="0" w:firstColumn="1" w:lastColumn="0" w:noHBand="0" w:noVBand="1"/>
      </w:tblPr>
      <w:tblGrid>
        <w:gridCol w:w="9825"/>
        <w:gridCol w:w="4123"/>
      </w:tblGrid>
      <w:tr>
        <w:tc>
          <w:tcPr>
            <w:tcW w:w="9825" w:type="dxa"/>
          </w:tcPr>
          <w:p>
            <w:pPr>
              <w:rPr>
                <w:b/>
                <w:lang w:val="en-US"/>
              </w:rPr>
            </w:pPr>
            <w:r>
              <w:rPr>
                <w:b/>
                <w:lang w:val="en-US"/>
              </w:rPr>
              <w:t>National Tuition Programme</w:t>
            </w:r>
          </w:p>
          <w:p>
            <w:pPr>
              <w:rPr>
                <w:b/>
                <w:lang w:val="en-US"/>
              </w:rPr>
            </w:pPr>
          </w:p>
        </w:tc>
        <w:tc>
          <w:tcPr>
            <w:tcW w:w="4123" w:type="dxa"/>
          </w:tcPr>
          <w:p>
            <w:pPr>
              <w:rPr>
                <w:b/>
                <w:lang w:val="en-US"/>
              </w:rPr>
            </w:pPr>
          </w:p>
        </w:tc>
      </w:tr>
      <w:tr>
        <w:tc>
          <w:tcPr>
            <w:tcW w:w="9825" w:type="dxa"/>
          </w:tcPr>
          <w:p>
            <w:pPr>
              <w:rPr>
                <w:lang w:val="en-US"/>
              </w:rPr>
            </w:pPr>
            <w:r>
              <w:rPr>
                <w:rFonts w:ascii="Calibri" w:hAnsi="Calibri" w:cs="Calibri"/>
              </w:rPr>
              <w:t>Actions</w:t>
            </w:r>
            <w:r>
              <w:rPr>
                <w:rFonts w:ascii="Calibri" w:hAnsi="Calibri" w:cs="Calibri"/>
                <w:caps/>
              </w:rPr>
              <w:t xml:space="preserve"> 2021-22</w:t>
            </w:r>
          </w:p>
        </w:tc>
        <w:tc>
          <w:tcPr>
            <w:tcW w:w="4123" w:type="dxa"/>
          </w:tcPr>
          <w:p>
            <w:pPr>
              <w:rPr>
                <w:lang w:val="en-US"/>
              </w:rPr>
            </w:pPr>
            <w:r>
              <w:rPr>
                <w:lang w:val="en-US"/>
              </w:rPr>
              <w:t>Link to SDP</w:t>
            </w:r>
          </w:p>
        </w:tc>
      </w:tr>
      <w:tr>
        <w:tc>
          <w:tcPr>
            <w:tcW w:w="9825" w:type="dxa"/>
          </w:tcPr>
          <w:p>
            <w:pPr>
              <w:pStyle w:val="ListParagraph"/>
              <w:numPr>
                <w:ilvl w:val="0"/>
                <w:numId w:val="10"/>
              </w:numPr>
              <w:rPr>
                <w:lang w:val="en-US"/>
              </w:rPr>
            </w:pPr>
            <w:r>
              <w:rPr>
                <w:lang w:val="en-US"/>
              </w:rPr>
              <w:t xml:space="preserve">From November 2021, a tutor </w:t>
            </w:r>
            <w:r>
              <w:rPr>
                <w:rFonts w:ascii="Calibri" w:hAnsi="Calibri" w:cs="Calibri"/>
              </w:rPr>
              <w:t xml:space="preserve">(a qualified teacher) </w:t>
            </w:r>
            <w:r>
              <w:rPr>
                <w:lang w:val="en-US"/>
              </w:rPr>
              <w:t>has been used to run sessions with groups of children from Years 2, 3 and 4 to support Reading Recovery. Those chosen were not making satisfactory progress with their reading. This support was for two days a week.</w:t>
            </w:r>
          </w:p>
        </w:tc>
        <w:tc>
          <w:tcPr>
            <w:tcW w:w="4123" w:type="dxa"/>
          </w:tcPr>
          <w:p>
            <w:pPr>
              <w:rPr>
                <w:lang w:val="en-US"/>
              </w:rPr>
            </w:pPr>
            <w:r>
              <w:rPr>
                <w:rFonts w:ascii="Calibri" w:hAnsi="Calibri" w:cs="Calibri"/>
              </w:rPr>
              <w:t>Objective 1, 4</w:t>
            </w:r>
          </w:p>
          <w:p>
            <w:pPr>
              <w:rPr>
                <w:lang w:val="en-US"/>
              </w:rPr>
            </w:pPr>
          </w:p>
        </w:tc>
      </w:tr>
      <w:tr>
        <w:tc>
          <w:tcPr>
            <w:tcW w:w="9825" w:type="dxa"/>
          </w:tcPr>
          <w:p>
            <w:pPr>
              <w:pStyle w:val="ListParagraph"/>
              <w:numPr>
                <w:ilvl w:val="0"/>
                <w:numId w:val="10"/>
              </w:numPr>
              <w:rPr>
                <w:lang w:val="en-US"/>
              </w:rPr>
            </w:pPr>
            <w:r>
              <w:rPr>
                <w:lang w:val="en-US"/>
              </w:rPr>
              <w:t xml:space="preserve">From January 2022 additional tutoring in </w:t>
            </w:r>
            <w:proofErr w:type="spellStart"/>
            <w:r>
              <w:rPr>
                <w:lang w:val="en-US"/>
              </w:rPr>
              <w:t>Maths</w:t>
            </w:r>
            <w:proofErr w:type="spellEnd"/>
            <w:r>
              <w:rPr>
                <w:lang w:val="en-US"/>
              </w:rPr>
              <w:t xml:space="preserve"> and Literacy for Year 6 pupils. This support took place for 11 weeks before and after school in the lead up to their SATs exams.</w:t>
            </w:r>
          </w:p>
        </w:tc>
        <w:tc>
          <w:tcPr>
            <w:tcW w:w="4123" w:type="dxa"/>
          </w:tcPr>
          <w:p>
            <w:pPr>
              <w:rPr>
                <w:rFonts w:ascii="Calibri" w:hAnsi="Calibri" w:cs="Calibri"/>
              </w:rPr>
            </w:pPr>
            <w:r>
              <w:rPr>
                <w:rFonts w:ascii="Calibri" w:hAnsi="Calibri" w:cs="Calibri"/>
              </w:rPr>
              <w:t>Objective 1</w:t>
            </w:r>
          </w:p>
        </w:tc>
      </w:tr>
    </w:tbl>
    <w:p/>
    <w:tbl>
      <w:tblPr>
        <w:tblStyle w:val="TableGrid"/>
        <w:tblW w:w="0" w:type="auto"/>
        <w:tblLook w:val="04A0" w:firstRow="1" w:lastRow="0" w:firstColumn="1" w:lastColumn="0" w:noHBand="0" w:noVBand="1"/>
      </w:tblPr>
      <w:tblGrid>
        <w:gridCol w:w="9825"/>
        <w:gridCol w:w="4123"/>
      </w:tblGrid>
      <w:tr>
        <w:tc>
          <w:tcPr>
            <w:tcW w:w="9825" w:type="dxa"/>
          </w:tcPr>
          <w:p>
            <w:pPr>
              <w:pStyle w:val="1bodycopy"/>
              <w:spacing w:after="0"/>
              <w:rPr>
                <w:rFonts w:ascii="Calibri" w:hAnsi="Calibri" w:cs="Calibri"/>
                <w:b/>
                <w:sz w:val="22"/>
                <w:szCs w:val="22"/>
              </w:rPr>
            </w:pPr>
            <w:r>
              <w:rPr>
                <w:rFonts w:ascii="Calibri" w:hAnsi="Calibri" w:cs="Calibri"/>
                <w:b/>
                <w:sz w:val="22"/>
                <w:szCs w:val="22"/>
              </w:rPr>
              <w:t>Academic Mentor</w:t>
            </w:r>
          </w:p>
          <w:p>
            <w:pPr>
              <w:pStyle w:val="1bodycopy"/>
              <w:spacing w:after="0"/>
              <w:rPr>
                <w:rFonts w:ascii="Calibri" w:hAnsi="Calibri" w:cs="Calibri"/>
                <w:b/>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Theme="minorHAnsi" w:hAnsiTheme="minorHAnsi" w:cstheme="minorHAnsi"/>
                <w:b/>
                <w:sz w:val="22"/>
                <w:szCs w:val="22"/>
              </w:rPr>
            </w:pPr>
            <w:r>
              <w:rPr>
                <w:rFonts w:asciiTheme="minorHAnsi" w:hAnsiTheme="minorHAnsi" w:cstheme="minorHAnsi"/>
                <w:sz w:val="22"/>
                <w:szCs w:val="22"/>
              </w:rPr>
              <w:t>Actions</w:t>
            </w:r>
            <w:r>
              <w:rPr>
                <w:rFonts w:asciiTheme="minorHAnsi" w:hAnsiTheme="minorHAnsi" w:cstheme="minorHAnsi"/>
                <w:caps/>
                <w:sz w:val="22"/>
                <w:szCs w:val="22"/>
              </w:rPr>
              <w:t xml:space="preserve"> 2021-22</w:t>
            </w:r>
          </w:p>
        </w:tc>
        <w:tc>
          <w:tcPr>
            <w:tcW w:w="4123" w:type="dxa"/>
          </w:tcPr>
          <w:p>
            <w:pPr>
              <w:pStyle w:val="1bodycopy"/>
              <w:spacing w:after="0"/>
              <w:rPr>
                <w:rFonts w:asciiTheme="minorHAnsi" w:hAnsiTheme="minorHAnsi" w:cstheme="minorHAnsi"/>
                <w:caps/>
                <w:sz w:val="22"/>
                <w:szCs w:val="22"/>
              </w:rPr>
            </w:pPr>
            <w:r>
              <w:rPr>
                <w:rFonts w:asciiTheme="minorHAnsi" w:hAnsiTheme="minorHAnsi" w:cstheme="minorHAnsi"/>
                <w:sz w:val="22"/>
                <w:szCs w:val="22"/>
              </w:rPr>
              <w:t>Link to SDP</w:t>
            </w:r>
          </w:p>
        </w:tc>
      </w:tr>
      <w:tr>
        <w:tc>
          <w:tcPr>
            <w:tcW w:w="9825" w:type="dxa"/>
          </w:tcPr>
          <w:p>
            <w:pPr>
              <w:pStyle w:val="1bodycopy"/>
              <w:numPr>
                <w:ilvl w:val="0"/>
                <w:numId w:val="9"/>
              </w:numPr>
              <w:spacing w:after="0"/>
              <w:rPr>
                <w:rFonts w:ascii="Calibri" w:hAnsi="Calibri" w:cs="Calibri"/>
                <w:caps/>
                <w:sz w:val="22"/>
                <w:szCs w:val="22"/>
              </w:rPr>
            </w:pPr>
            <w:r>
              <w:rPr>
                <w:rFonts w:ascii="Calibri" w:hAnsi="Calibri" w:cs="Calibri"/>
                <w:sz w:val="22"/>
                <w:szCs w:val="22"/>
              </w:rPr>
              <w:t>From January 2022 an Academic mentor (a qualified teacher) has been employed three days a week. The focus has been to support individual reading skills for SEND and PP children in all year groups.</w:t>
            </w:r>
          </w:p>
        </w:tc>
        <w:tc>
          <w:tcPr>
            <w:tcW w:w="4123" w:type="dxa"/>
          </w:tcPr>
          <w:p>
            <w:pPr>
              <w:pStyle w:val="1bodycopy"/>
              <w:spacing w:after="0"/>
              <w:rPr>
                <w:rFonts w:ascii="Calibri" w:hAnsi="Calibri" w:cs="Calibri"/>
                <w:caps/>
                <w:sz w:val="22"/>
                <w:szCs w:val="22"/>
              </w:rPr>
            </w:pPr>
            <w:r>
              <w:rPr>
                <w:rFonts w:ascii="Calibri" w:hAnsi="Calibri" w:cs="Calibri"/>
                <w:sz w:val="22"/>
                <w:szCs w:val="22"/>
              </w:rPr>
              <w:t>Objective 4</w:t>
            </w:r>
          </w:p>
        </w:tc>
      </w:tr>
    </w:tbl>
    <w:p/>
    <w:tbl>
      <w:tblPr>
        <w:tblStyle w:val="TableGrid"/>
        <w:tblW w:w="0" w:type="auto"/>
        <w:tblLook w:val="04A0" w:firstRow="1" w:lastRow="0" w:firstColumn="1" w:lastColumn="0" w:noHBand="0" w:noVBand="1"/>
      </w:tblPr>
      <w:tblGrid>
        <w:gridCol w:w="9825"/>
        <w:gridCol w:w="4123"/>
      </w:tblGrid>
      <w:tr>
        <w:tc>
          <w:tcPr>
            <w:tcW w:w="9825" w:type="dxa"/>
          </w:tcPr>
          <w:p>
            <w:pPr>
              <w:pStyle w:val="1bodycopy"/>
              <w:spacing w:after="0"/>
              <w:rPr>
                <w:rFonts w:ascii="Calibri" w:hAnsi="Calibri" w:cs="Calibri"/>
                <w:b/>
                <w:caps/>
                <w:sz w:val="22"/>
                <w:szCs w:val="22"/>
              </w:rPr>
            </w:pPr>
            <w:r>
              <w:rPr>
                <w:rFonts w:ascii="Calibri" w:hAnsi="Calibri" w:cs="Calibri"/>
                <w:b/>
                <w:sz w:val="22"/>
                <w:szCs w:val="22"/>
              </w:rPr>
              <w:t xml:space="preserve">Sports Premium (Please see the Sports Premium Full Report) </w:t>
            </w:r>
          </w:p>
          <w:p>
            <w:pPr>
              <w:pStyle w:val="1bodycopy"/>
              <w:spacing w:after="0"/>
              <w:rPr>
                <w:rFonts w:ascii="Calibri" w:hAnsi="Calibri" w:cs="Calibri"/>
                <w:caps/>
                <w:sz w:val="22"/>
                <w:szCs w:val="22"/>
              </w:rPr>
            </w:pPr>
          </w:p>
        </w:tc>
        <w:tc>
          <w:tcPr>
            <w:tcW w:w="4123" w:type="dxa"/>
          </w:tcPr>
          <w:p>
            <w:pPr>
              <w:pStyle w:val="1bodycopy"/>
              <w:spacing w:after="0"/>
              <w:rPr>
                <w:rFonts w:ascii="Calibri" w:hAnsi="Calibri" w:cs="Calibri"/>
                <w:caps/>
                <w:sz w:val="22"/>
                <w:szCs w:val="22"/>
              </w:rPr>
            </w:pPr>
          </w:p>
        </w:tc>
      </w:tr>
      <w:tr>
        <w:tc>
          <w:tcPr>
            <w:tcW w:w="9825" w:type="dxa"/>
          </w:tcPr>
          <w:p>
            <w:pPr>
              <w:pStyle w:val="1bodycopy"/>
              <w:spacing w:after="0"/>
              <w:rPr>
                <w:rFonts w:asciiTheme="minorHAnsi" w:hAnsiTheme="minorHAnsi" w:cstheme="minorHAnsi"/>
                <w:b/>
                <w:sz w:val="22"/>
                <w:szCs w:val="22"/>
              </w:rPr>
            </w:pPr>
            <w:r>
              <w:rPr>
                <w:rFonts w:asciiTheme="minorHAnsi" w:hAnsiTheme="minorHAnsi" w:cstheme="minorHAnsi"/>
                <w:sz w:val="22"/>
                <w:szCs w:val="22"/>
              </w:rPr>
              <w:t>Actions</w:t>
            </w:r>
            <w:r>
              <w:rPr>
                <w:rFonts w:asciiTheme="minorHAnsi" w:hAnsiTheme="minorHAnsi" w:cstheme="minorHAnsi"/>
                <w:caps/>
                <w:sz w:val="22"/>
                <w:szCs w:val="22"/>
              </w:rPr>
              <w:t xml:space="preserve"> 2021-22</w:t>
            </w:r>
          </w:p>
        </w:tc>
        <w:tc>
          <w:tcPr>
            <w:tcW w:w="4123" w:type="dxa"/>
          </w:tcPr>
          <w:p>
            <w:pPr>
              <w:pStyle w:val="1bodycopy"/>
              <w:spacing w:after="0"/>
              <w:rPr>
                <w:rFonts w:asciiTheme="minorHAnsi" w:hAnsiTheme="minorHAnsi" w:cstheme="minorHAnsi"/>
                <w:caps/>
                <w:sz w:val="22"/>
                <w:szCs w:val="22"/>
              </w:rPr>
            </w:pPr>
            <w:r>
              <w:rPr>
                <w:rFonts w:asciiTheme="minorHAnsi" w:hAnsiTheme="minorHAnsi" w:cstheme="minorHAnsi"/>
                <w:sz w:val="22"/>
                <w:szCs w:val="22"/>
              </w:rPr>
              <w:t>Link to SDP</w:t>
            </w:r>
          </w:p>
        </w:tc>
      </w:tr>
      <w:tr>
        <w:tc>
          <w:tcPr>
            <w:tcW w:w="9825" w:type="dxa"/>
          </w:tcPr>
          <w:p>
            <w:pPr>
              <w:pStyle w:val="1bodycopy"/>
              <w:numPr>
                <w:ilvl w:val="0"/>
                <w:numId w:val="8"/>
              </w:numPr>
              <w:spacing w:after="0"/>
              <w:rPr>
                <w:rFonts w:ascii="Calibri" w:hAnsi="Calibri" w:cs="Calibri"/>
                <w:sz w:val="22"/>
                <w:szCs w:val="22"/>
              </w:rPr>
            </w:pPr>
            <w:r>
              <w:rPr>
                <w:rFonts w:ascii="Calibri" w:hAnsi="Calibri" w:cs="Calibri"/>
                <w:sz w:val="22"/>
                <w:szCs w:val="22"/>
              </w:rPr>
              <w:lastRenderedPageBreak/>
              <w:t xml:space="preserve">Membership to the CPRSSP </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proofErr w:type="spellStart"/>
            <w:r>
              <w:rPr>
                <w:rFonts w:ascii="Calibri" w:hAnsi="Calibri" w:cs="Calibri"/>
                <w:sz w:val="22"/>
                <w:szCs w:val="22"/>
              </w:rPr>
              <w:t>Specialised</w:t>
            </w:r>
            <w:proofErr w:type="spellEnd"/>
            <w:r>
              <w:rPr>
                <w:rFonts w:ascii="Calibri" w:hAnsi="Calibri" w:cs="Calibri"/>
                <w:sz w:val="22"/>
                <w:szCs w:val="22"/>
              </w:rPr>
              <w:t xml:space="preserve"> Sports Coaches to support curriculum learning  </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r>
              <w:rPr>
                <w:rFonts w:ascii="Calibri" w:hAnsi="Calibri" w:cs="Calibri"/>
                <w:sz w:val="22"/>
                <w:szCs w:val="22"/>
              </w:rPr>
              <w:t>To update and maintain resources</w:t>
            </w:r>
          </w:p>
        </w:tc>
        <w:tc>
          <w:tcPr>
            <w:tcW w:w="4123" w:type="dxa"/>
          </w:tcPr>
          <w:p>
            <w:pPr>
              <w:rPr>
                <w:lang w:val="en-US"/>
              </w:rPr>
            </w:pPr>
          </w:p>
        </w:tc>
      </w:tr>
      <w:tr>
        <w:tc>
          <w:tcPr>
            <w:tcW w:w="9825" w:type="dxa"/>
          </w:tcPr>
          <w:p>
            <w:pPr>
              <w:pStyle w:val="1bodycopy"/>
              <w:numPr>
                <w:ilvl w:val="0"/>
                <w:numId w:val="8"/>
              </w:numPr>
              <w:spacing w:after="0"/>
              <w:rPr>
                <w:rFonts w:ascii="Calibri" w:hAnsi="Calibri" w:cs="Calibri"/>
                <w:sz w:val="22"/>
                <w:szCs w:val="22"/>
              </w:rPr>
            </w:pPr>
            <w:r>
              <w:rPr>
                <w:rFonts w:ascii="Calibri" w:hAnsi="Calibri" w:cs="Calibri"/>
                <w:sz w:val="22"/>
                <w:szCs w:val="22"/>
              </w:rPr>
              <w:t>Swimming pool maintenance</w:t>
            </w:r>
          </w:p>
        </w:tc>
        <w:tc>
          <w:tcPr>
            <w:tcW w:w="4123" w:type="dxa"/>
          </w:tcPr>
          <w:p>
            <w:pPr>
              <w:rPr>
                <w:lang w:val="en-US"/>
              </w:rPr>
            </w:pPr>
          </w:p>
        </w:tc>
      </w:tr>
      <w:tr>
        <w:tc>
          <w:tcPr>
            <w:tcW w:w="9825" w:type="dxa"/>
          </w:tcPr>
          <w:p>
            <w:pPr>
              <w:pStyle w:val="ListParagraph"/>
              <w:numPr>
                <w:ilvl w:val="0"/>
                <w:numId w:val="8"/>
              </w:numPr>
              <w:rPr>
                <w:lang w:val="en-US"/>
              </w:rPr>
            </w:pPr>
            <w:r>
              <w:rPr>
                <w:lang w:val="en-US"/>
              </w:rPr>
              <w:t>Staff CPD</w:t>
            </w:r>
          </w:p>
        </w:tc>
        <w:tc>
          <w:tcPr>
            <w:tcW w:w="4123" w:type="dxa"/>
          </w:tcPr>
          <w:p>
            <w:pPr>
              <w:rPr>
                <w:lang w:val="en-US"/>
              </w:rPr>
            </w:pPr>
          </w:p>
        </w:tc>
      </w:tr>
      <w:tr>
        <w:tc>
          <w:tcPr>
            <w:tcW w:w="9825" w:type="dxa"/>
          </w:tcPr>
          <w:p>
            <w:pPr>
              <w:pStyle w:val="1bodycopy"/>
              <w:numPr>
                <w:ilvl w:val="0"/>
                <w:numId w:val="8"/>
              </w:numPr>
              <w:tabs>
                <w:tab w:val="left" w:pos="1110"/>
              </w:tabs>
              <w:spacing w:after="0"/>
              <w:rPr>
                <w:rFonts w:ascii="Calibri" w:hAnsi="Calibri" w:cs="Calibri"/>
                <w:caps/>
                <w:sz w:val="22"/>
                <w:szCs w:val="22"/>
              </w:rPr>
            </w:pPr>
            <w:r>
              <w:rPr>
                <w:rFonts w:ascii="Calibri" w:hAnsi="Calibri" w:cs="Calibri"/>
                <w:sz w:val="22"/>
                <w:szCs w:val="22"/>
              </w:rPr>
              <w:t>Extra-curricular clubs</w:t>
            </w:r>
          </w:p>
        </w:tc>
        <w:tc>
          <w:tcPr>
            <w:tcW w:w="4123" w:type="dxa"/>
          </w:tcPr>
          <w:p>
            <w:pPr>
              <w:rPr>
                <w:lang w:val="en-US"/>
              </w:rPr>
            </w:pPr>
          </w:p>
        </w:tc>
      </w:tr>
      <w:tr>
        <w:tc>
          <w:tcPr>
            <w:tcW w:w="9825" w:type="dxa"/>
          </w:tcPr>
          <w:p>
            <w:pPr>
              <w:pStyle w:val="1bodycopy"/>
              <w:numPr>
                <w:ilvl w:val="0"/>
                <w:numId w:val="8"/>
              </w:numPr>
              <w:tabs>
                <w:tab w:val="left" w:pos="1110"/>
              </w:tabs>
              <w:spacing w:after="0"/>
              <w:rPr>
                <w:rFonts w:ascii="Calibri" w:hAnsi="Calibri" w:cs="Calibri"/>
                <w:caps/>
                <w:sz w:val="22"/>
                <w:szCs w:val="22"/>
              </w:rPr>
            </w:pPr>
            <w:r>
              <w:rPr>
                <w:rFonts w:ascii="Calibri" w:hAnsi="Calibri" w:cs="Calibri"/>
                <w:sz w:val="22"/>
                <w:szCs w:val="22"/>
              </w:rPr>
              <w:t>Transport costs, to and from sporting events</w:t>
            </w:r>
          </w:p>
        </w:tc>
        <w:tc>
          <w:tcPr>
            <w:tcW w:w="4123" w:type="dxa"/>
          </w:tcPr>
          <w:p>
            <w:pPr>
              <w:rPr>
                <w:lang w:val="en-US"/>
              </w:rPr>
            </w:pPr>
          </w:p>
        </w:tc>
      </w:tr>
      <w:tr>
        <w:tc>
          <w:tcPr>
            <w:tcW w:w="9825" w:type="dxa"/>
          </w:tcPr>
          <w:p>
            <w:pPr>
              <w:pStyle w:val="1bodycopy"/>
              <w:tabs>
                <w:tab w:val="left" w:pos="1110"/>
              </w:tabs>
              <w:spacing w:after="0"/>
              <w:rPr>
                <w:rFonts w:ascii="Calibri" w:hAnsi="Calibri" w:cs="Calibri"/>
                <w:caps/>
                <w:sz w:val="22"/>
              </w:rPr>
            </w:pPr>
          </w:p>
        </w:tc>
        <w:tc>
          <w:tcPr>
            <w:tcW w:w="4123" w:type="dxa"/>
          </w:tcPr>
          <w:p>
            <w:pPr>
              <w:pStyle w:val="1bodycopy"/>
              <w:tabs>
                <w:tab w:val="left" w:pos="1110"/>
              </w:tabs>
              <w:spacing w:after="0"/>
              <w:rPr>
                <w:rFonts w:ascii="Calibri" w:hAnsi="Calibri" w:cs="Calibri"/>
                <w:caps/>
                <w:sz w:val="22"/>
              </w:rPr>
            </w:pPr>
          </w:p>
        </w:tc>
      </w:tr>
    </w:tbl>
    <w:p>
      <w:pPr>
        <w:rPr>
          <w:lang w:val="en-US"/>
        </w:rPr>
      </w:pPr>
    </w:p>
    <w:sectPr>
      <w:footerReference w:type="default" r:id="rId12"/>
      <w:pgSz w:w="16838" w:h="11906" w:orient="landscape"/>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5958"/>
      <w:docPartObj>
        <w:docPartGallery w:val="Page Numbers (Bottom of Page)"/>
        <w:docPartUnique/>
      </w:docPartObj>
    </w:sdtPr>
    <w:sdtEndPr>
      <w:rPr>
        <w:noProof/>
        <w:sz w:val="20"/>
      </w:rPr>
    </w:sdtEndPr>
    <w:sdtContent>
      <w:p>
        <w:pPr>
          <w:pStyle w:val="Footer"/>
          <w:jc w:val="right"/>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9</w:t>
        </w:r>
        <w:r>
          <w:rPr>
            <w:noProof/>
            <w:sz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40CE"/>
    <w:multiLevelType w:val="multilevel"/>
    <w:tmpl w:val="A3F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05EE3"/>
    <w:multiLevelType w:val="hybridMultilevel"/>
    <w:tmpl w:val="07FA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759CB"/>
    <w:multiLevelType w:val="multilevel"/>
    <w:tmpl w:val="F99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D111A"/>
    <w:multiLevelType w:val="hybridMultilevel"/>
    <w:tmpl w:val="773A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97423"/>
    <w:multiLevelType w:val="hybridMultilevel"/>
    <w:tmpl w:val="8438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4A1E"/>
    <w:multiLevelType w:val="hybridMultilevel"/>
    <w:tmpl w:val="B91C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40A97"/>
    <w:multiLevelType w:val="hybridMultilevel"/>
    <w:tmpl w:val="E91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D100E"/>
    <w:multiLevelType w:val="hybridMultilevel"/>
    <w:tmpl w:val="7E08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26D5D"/>
    <w:multiLevelType w:val="hybridMultilevel"/>
    <w:tmpl w:val="514C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238F1"/>
    <w:multiLevelType w:val="hybridMultilevel"/>
    <w:tmpl w:val="E51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E4D6E"/>
    <w:multiLevelType w:val="hybridMultilevel"/>
    <w:tmpl w:val="89EE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9"/>
  </w:num>
  <w:num w:numId="5">
    <w:abstractNumId w:val="0"/>
  </w:num>
  <w:num w:numId="6">
    <w:abstractNumId w:val="7"/>
  </w:num>
  <w:num w:numId="7">
    <w:abstractNumId w:val="2"/>
  </w:num>
  <w:num w:numId="8">
    <w:abstractNumId w:val="8"/>
  </w:num>
  <w:num w:numId="9">
    <w:abstractNumId w:val="6"/>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4963-D23A-4142-BE3A-5BFAF69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rPr>
      <w:rFonts w:ascii="Calibri" w:eastAsia="Times New Roman" w:hAnsi="Calibri" w:cs="Times New Roman"/>
      <w:lang w:val="es-ES" w:eastAsia="es-ES"/>
    </w:rPr>
  </w:style>
  <w:style w:type="paragraph" w:customStyle="1" w:styleId="MediumGrid22">
    <w:name w:val="Medium Grid 22"/>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paragraph" w:customStyle="1" w:styleId="7Tablecopybulleted">
    <w:name w:val="7 Table copy bulleted"/>
    <w:basedOn w:val="Normal"/>
    <w:qFormat/>
    <w:pPr>
      <w:numPr>
        <w:numId w:val="5"/>
      </w:numPr>
      <w:spacing w:after="60" w:line="240" w:lineRule="auto"/>
    </w:pPr>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192">
      <w:bodyDiv w:val="1"/>
      <w:marLeft w:val="0"/>
      <w:marRight w:val="0"/>
      <w:marTop w:val="0"/>
      <w:marBottom w:val="0"/>
      <w:divBdr>
        <w:top w:val="none" w:sz="0" w:space="0" w:color="auto"/>
        <w:left w:val="none" w:sz="0" w:space="0" w:color="auto"/>
        <w:bottom w:val="none" w:sz="0" w:space="0" w:color="auto"/>
        <w:right w:val="none" w:sz="0" w:space="0" w:color="auto"/>
      </w:divBdr>
    </w:div>
    <w:div w:id="147209559">
      <w:bodyDiv w:val="1"/>
      <w:marLeft w:val="0"/>
      <w:marRight w:val="0"/>
      <w:marTop w:val="0"/>
      <w:marBottom w:val="0"/>
      <w:divBdr>
        <w:top w:val="none" w:sz="0" w:space="0" w:color="auto"/>
        <w:left w:val="none" w:sz="0" w:space="0" w:color="auto"/>
        <w:bottom w:val="none" w:sz="0" w:space="0" w:color="auto"/>
        <w:right w:val="none" w:sz="0" w:space="0" w:color="auto"/>
      </w:divBdr>
    </w:div>
    <w:div w:id="156263268">
      <w:bodyDiv w:val="1"/>
      <w:marLeft w:val="0"/>
      <w:marRight w:val="0"/>
      <w:marTop w:val="0"/>
      <w:marBottom w:val="0"/>
      <w:divBdr>
        <w:top w:val="none" w:sz="0" w:space="0" w:color="auto"/>
        <w:left w:val="none" w:sz="0" w:space="0" w:color="auto"/>
        <w:bottom w:val="none" w:sz="0" w:space="0" w:color="auto"/>
        <w:right w:val="none" w:sz="0" w:space="0" w:color="auto"/>
      </w:divBdr>
    </w:div>
    <w:div w:id="545142983">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2032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10</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Sarah Warnes</cp:lastModifiedBy>
  <cp:revision>4</cp:revision>
  <cp:lastPrinted>2022-05-20T14:30:00Z</cp:lastPrinted>
  <dcterms:created xsi:type="dcterms:W3CDTF">2022-05-20T14:17:00Z</dcterms:created>
  <dcterms:modified xsi:type="dcterms:W3CDTF">2022-05-23T13:01:00Z</dcterms:modified>
</cp:coreProperties>
</file>